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МЧС России от 16.03.2020 N 171</w:t>
              <w:br/>
              <w:t xml:space="preserve">"Об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w:t>
              <w:br/>
              <w:t xml:space="preserve">(Зарегистрировано в Минюсте России 17.04.2020 N 58127)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17 апреля 2020 г. N 58127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center"/>
      </w:pPr>
      <w:r>
        <w:rPr>
          <w:sz w:val="20"/>
        </w:rPr>
      </w:r>
    </w:p>
    <w:p>
      <w:pPr>
        <w:pStyle w:val="2"/>
        <w:jc w:val="center"/>
      </w:pPr>
      <w:r>
        <w:rPr>
          <w:sz w:val="20"/>
        </w:rPr>
        <w:t xml:space="preserve">ПРИКАЗ</w:t>
      </w:r>
    </w:p>
    <w:p>
      <w:pPr>
        <w:pStyle w:val="2"/>
        <w:jc w:val="center"/>
      </w:pPr>
      <w:r>
        <w:rPr>
          <w:sz w:val="20"/>
        </w:rPr>
        <w:t xml:space="preserve">от 16 марта 2020 г. N 171</w:t>
      </w:r>
    </w:p>
    <w:p>
      <w:pPr>
        <w:pStyle w:val="2"/>
        <w:jc w:val="center"/>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МИНИСТЕРСТВА РОССИЙСКОЙ ФЕДЕРАЦИИ ПО ДЕЛАМ ГРАЖДАНСКОЙ</w:t>
      </w:r>
    </w:p>
    <w:p>
      <w:pPr>
        <w:pStyle w:val="2"/>
        <w:jc w:val="center"/>
      </w:pPr>
      <w:r>
        <w:rPr>
          <w:sz w:val="20"/>
        </w:rPr>
        <w:t xml:space="preserve">ОБОРОНЫ, ЧРЕЗВЫЧАЙНЫМ СИТУАЦИЯМ И ЛИКВИДАЦИИ ПОСЛЕДСТВИЙ</w:t>
      </w:r>
    </w:p>
    <w:p>
      <w:pPr>
        <w:pStyle w:val="2"/>
        <w:jc w:val="center"/>
      </w:pPr>
      <w:r>
        <w:rPr>
          <w:sz w:val="20"/>
        </w:rPr>
        <w:t xml:space="preserve">СТИХИЙНЫХ БЕДСТВИЙ ПО ПРЕДОСТАВЛЕНИЮ ГОСУДАРСТВЕННОЙ УСЛУГИ</w:t>
      </w:r>
    </w:p>
    <w:p>
      <w:pPr>
        <w:pStyle w:val="2"/>
        <w:jc w:val="center"/>
      </w:pPr>
      <w:r>
        <w:rPr>
          <w:sz w:val="20"/>
        </w:rPr>
        <w:t xml:space="preserve">ПО РЕГИСТРАЦИИ ДЕКЛАРАЦИИ ПОЖАРНОЙ БЕЗОПАСНОСТИ И ФОРМЫ</w:t>
      </w:r>
    </w:p>
    <w:p>
      <w:pPr>
        <w:pStyle w:val="2"/>
        <w:jc w:val="center"/>
      </w:pPr>
      <w:r>
        <w:rPr>
          <w:sz w:val="20"/>
        </w:rPr>
        <w:t xml:space="preserve">ДЕКЛАРАЦИИ ПОЖАРНОЙ БЕЗОПАСНОСТИ</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0"/>
            <w:color w:val="0000ff"/>
          </w:rPr>
          <w:t xml:space="preserve">законом</w:t>
        </w:r>
      </w:hyperlink>
      <w:r>
        <w:rPr>
          <w:sz w:val="20"/>
        </w:rPr>
        <w:t xml:space="preserve"> от 27 июля 2010 г. N 210-ФЗ "Об организации предоставления государственных и муниципальных услуг" &lt;1&gt;, Федеральным </w:t>
      </w:r>
      <w:hyperlink w:history="0" r:id="rId8"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22 июля 2008 г. N 123-ФЗ "Технический регламент о требованиях пожарной безопасности" &lt;2&gt; и </w:t>
      </w:r>
      <w:hyperlink w:history="0" r:id="rId9"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0"/>
            <w:color w:val="0000ff"/>
          </w:rPr>
          <w:t xml:space="preserve">постановлением</w:t>
        </w:r>
      </w:hyperlink>
      <w:r>
        <w:rPr>
          <w:sz w:val="20"/>
        </w:rP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&lt;3&gt; приказываю: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2010, N 31, ст. 4179; 2019, N 52, ст. 7790.</w:t>
      </w:r>
    </w:p>
    <w:p>
      <w:pPr>
        <w:pStyle w:val="0"/>
        <w:spacing w:before="200" w:line-rule="auto"/>
        <w:ind w:firstLine="540"/>
        <w:jc w:val="both"/>
      </w:pPr>
      <w:r>
        <w:rPr>
          <w:sz w:val="20"/>
        </w:rPr>
        <w:t xml:space="preserve">&lt;2&gt; Собрание законодательства Российской Федерации, 2008, N 30, ст. 3579; 2018, N 53, ст. 8464.</w:t>
      </w:r>
    </w:p>
    <w:p>
      <w:pPr>
        <w:pStyle w:val="0"/>
        <w:spacing w:before="200" w:line-rule="auto"/>
        <w:ind w:firstLine="540"/>
        <w:jc w:val="both"/>
      </w:pPr>
      <w:r>
        <w:rPr>
          <w:sz w:val="20"/>
        </w:rPr>
        <w:t xml:space="preserve">&lt;3&gt; Собрание законодательства Российской Федерации, 2011, N 22, ст. 3169; 2018, N 46, ст. 7050.</w:t>
      </w:r>
    </w:p>
    <w:p>
      <w:pPr>
        <w:pStyle w:val="0"/>
        <w:jc w:val="both"/>
      </w:pPr>
      <w:r>
        <w:rPr>
          <w:sz w:val="20"/>
        </w:rPr>
      </w:r>
    </w:p>
    <w:p>
      <w:pPr>
        <w:pStyle w:val="0"/>
        <w:ind w:firstLine="540"/>
        <w:jc w:val="both"/>
      </w:pPr>
      <w:r>
        <w:rPr>
          <w:sz w:val="20"/>
        </w:rPr>
        <w:t xml:space="preserve">1. Утвердить Административный </w:t>
      </w:r>
      <w:hyperlink w:history="0" w:anchor="P40" w:tooltip="АДМИНИСТРАТИВНЫЙ РЕГЛАМЕНТ">
        <w:r>
          <w:rPr>
            <w:sz w:val="20"/>
            <w:color w:val="0000ff"/>
          </w:rPr>
          <w:t xml:space="preserve">регламент</w:t>
        </w:r>
      </w:hyperlink>
      <w:r>
        <w:rPr>
          <w:sz w:val="20"/>
        </w:rPr>
        <w:t xml:space="preserve">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согласно приложению N 1.</w:t>
      </w:r>
    </w:p>
    <w:p>
      <w:pPr>
        <w:pStyle w:val="0"/>
        <w:spacing w:before="200" w:line-rule="auto"/>
        <w:ind w:firstLine="540"/>
        <w:jc w:val="both"/>
      </w:pPr>
      <w:r>
        <w:rPr>
          <w:sz w:val="20"/>
        </w:rPr>
        <w:t xml:space="preserve">2. Утвердить </w:t>
      </w:r>
      <w:hyperlink w:history="0" w:anchor="P530" w:tooltip="ДЕКЛАРАЦИЯ">
        <w:r>
          <w:rPr>
            <w:sz w:val="20"/>
            <w:color w:val="0000ff"/>
          </w:rPr>
          <w:t xml:space="preserve">форму</w:t>
        </w:r>
      </w:hyperlink>
      <w:r>
        <w:rPr>
          <w:sz w:val="20"/>
        </w:rPr>
        <w:t xml:space="preserve"> декларации пожарной безопасности согласно приложению N 2.</w:t>
      </w:r>
    </w:p>
    <w:p>
      <w:pPr>
        <w:pStyle w:val="0"/>
        <w:jc w:val="both"/>
      </w:pPr>
      <w:r>
        <w:rPr>
          <w:sz w:val="20"/>
        </w:rPr>
      </w:r>
    </w:p>
    <w:p>
      <w:pPr>
        <w:pStyle w:val="0"/>
        <w:jc w:val="right"/>
      </w:pPr>
      <w:r>
        <w:rPr>
          <w:sz w:val="20"/>
        </w:rPr>
        <w:t xml:space="preserve">Министр</w:t>
      </w:r>
    </w:p>
    <w:p>
      <w:pPr>
        <w:pStyle w:val="0"/>
        <w:jc w:val="right"/>
      </w:pPr>
      <w:r>
        <w:rPr>
          <w:sz w:val="20"/>
        </w:rPr>
        <w:t xml:space="preserve">Е.Н.ЗИНИЧЕВ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МЧС России</w:t>
      </w:r>
    </w:p>
    <w:p>
      <w:pPr>
        <w:pStyle w:val="0"/>
        <w:jc w:val="right"/>
      </w:pPr>
      <w:r>
        <w:rPr>
          <w:sz w:val="20"/>
        </w:rPr>
        <w:t xml:space="preserve">от 16.03.2020 N 171</w:t>
      </w:r>
    </w:p>
    <w:p>
      <w:pPr>
        <w:pStyle w:val="0"/>
        <w:jc w:val="both"/>
      </w:pPr>
      <w:r>
        <w:rPr>
          <w:sz w:val="20"/>
        </w:rPr>
      </w:r>
    </w:p>
    <w:bookmarkStart w:id="40" w:name="P40"/>
    <w:bookmarkEnd w:id="40"/>
    <w:p>
      <w:pPr>
        <w:pStyle w:val="2"/>
        <w:jc w:val="center"/>
      </w:pPr>
      <w:r>
        <w:rPr>
          <w:sz w:val="20"/>
        </w:rPr>
        <w:t xml:space="preserve">АДМИНИСТРАТИВНЫЙ РЕГЛАМЕНТ</w:t>
      </w:r>
    </w:p>
    <w:p>
      <w:pPr>
        <w:pStyle w:val="2"/>
        <w:jc w:val="center"/>
      </w:pPr>
      <w:r>
        <w:rPr>
          <w:sz w:val="20"/>
        </w:rPr>
        <w:t xml:space="preserve">МИНИСТЕРСТВА РОССИЙСКОЙ ФЕДЕРАЦИИ ПО ДЕЛАМ ГРАЖДАНСКОЙ</w:t>
      </w:r>
    </w:p>
    <w:p>
      <w:pPr>
        <w:pStyle w:val="2"/>
        <w:jc w:val="center"/>
      </w:pPr>
      <w:r>
        <w:rPr>
          <w:sz w:val="20"/>
        </w:rPr>
        <w:t xml:space="preserve">ОБОРОНЫ, ЧРЕЗВЫЧАЙНЫМ СИТУАЦИЯМ И ЛИКВИДАЦИИ ПОСЛЕДСТВИЙ</w:t>
      </w:r>
    </w:p>
    <w:p>
      <w:pPr>
        <w:pStyle w:val="2"/>
        <w:jc w:val="center"/>
      </w:pPr>
      <w:r>
        <w:rPr>
          <w:sz w:val="20"/>
        </w:rPr>
        <w:t xml:space="preserve">СТИХИЙНЫХ БЕДСТВИЙ ПО ПРЕДОСТАВЛЕНИЮ ГОСУДАРСТВЕННОЙ УСЛУГИ</w:t>
      </w:r>
    </w:p>
    <w:p>
      <w:pPr>
        <w:pStyle w:val="2"/>
        <w:jc w:val="center"/>
      </w:pPr>
      <w:r>
        <w:rPr>
          <w:sz w:val="20"/>
        </w:rPr>
        <w:t xml:space="preserve">ПО РЕГИСТРАЦИИ ДЕКЛАРАЦИИ ПОЖАРНОЙ БЕЗОПАСНОСТИ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2"/>
        <w:outlineLvl w:val="2"/>
        <w:jc w:val="center"/>
      </w:pPr>
      <w:r>
        <w:rPr>
          <w:sz w:val="20"/>
        </w:rPr>
        <w:t xml:space="preserve">Предмет регулирования регламента</w:t>
      </w:r>
    </w:p>
    <w:p>
      <w:pPr>
        <w:pStyle w:val="0"/>
        <w:jc w:val="both"/>
      </w:pPr>
      <w:r>
        <w:rPr>
          <w:sz w:val="20"/>
        </w:rPr>
      </w:r>
    </w:p>
    <w:p>
      <w:pPr>
        <w:pStyle w:val="0"/>
        <w:ind w:firstLine="540"/>
        <w:jc w:val="both"/>
      </w:pPr>
      <w:r>
        <w:rPr>
          <w:sz w:val="20"/>
        </w:rPr>
        <w:t xml:space="preserve">1.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w:t>
      </w:r>
      <w:hyperlink w:history="0" w:anchor="P530" w:tooltip="ДЕКЛАРАЦИЯ">
        <w:r>
          <w:rPr>
            <w:sz w:val="20"/>
            <w:color w:val="0000ff"/>
          </w:rPr>
          <w:t xml:space="preserve">декларации</w:t>
        </w:r>
      </w:hyperlink>
      <w:r>
        <w:rPr>
          <w:sz w:val="20"/>
        </w:rPr>
        <w:t xml:space="preserve"> пожарной безопасности (далее - Административный регламент) устанавливает сроки и последовательность административных процедур (действий) МЧС России, порядок взаимодействия между структурными подразделениями МЧС России, их должностными лицами, а также взаимодействия МЧС России с заявителями при предоставлении государственной услуги по регистрации </w:t>
      </w:r>
      <w:hyperlink w:history="0" w:anchor="P530" w:tooltip="ДЕКЛАРАЦИЯ">
        <w:r>
          <w:rPr>
            <w:sz w:val="20"/>
            <w:color w:val="0000ff"/>
          </w:rPr>
          <w:t xml:space="preserve">декларации</w:t>
        </w:r>
      </w:hyperlink>
      <w:r>
        <w:rPr>
          <w:sz w:val="20"/>
        </w:rPr>
        <w:t xml:space="preserve"> пожарной безопасности (далее - государственная услуга).</w:t>
      </w:r>
    </w:p>
    <w:p>
      <w:pPr>
        <w:pStyle w:val="0"/>
        <w:jc w:val="both"/>
      </w:pPr>
      <w:r>
        <w:rPr>
          <w:sz w:val="20"/>
        </w:rPr>
      </w:r>
    </w:p>
    <w:p>
      <w:pPr>
        <w:pStyle w:val="2"/>
        <w:outlineLvl w:val="2"/>
        <w:jc w:val="center"/>
      </w:pPr>
      <w:r>
        <w:rPr>
          <w:sz w:val="20"/>
        </w:rPr>
        <w:t xml:space="preserve">Круг заявителей</w:t>
      </w:r>
    </w:p>
    <w:p>
      <w:pPr>
        <w:pStyle w:val="0"/>
        <w:jc w:val="both"/>
      </w:pPr>
      <w:r>
        <w:rPr>
          <w:sz w:val="20"/>
        </w:rPr>
      </w:r>
    </w:p>
    <w:p>
      <w:pPr>
        <w:pStyle w:val="0"/>
        <w:ind w:firstLine="540"/>
        <w:jc w:val="both"/>
      </w:pPr>
      <w:r>
        <w:rPr>
          <w:sz w:val="20"/>
        </w:rPr>
        <w:t xml:space="preserve">2. Заявителями на получение государственной услуги являются собственники объекта защиты или лица, владеющие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(за исключением объектов защиты специального назначения, на которых федеральный государственный пожарный надзор осуществляют федеральные органы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представляющие на регистрацию </w:t>
      </w:r>
      <w:hyperlink w:history="0" w:anchor="P530" w:tooltip="ДЕКЛАРАЦИЯ">
        <w:r>
          <w:rPr>
            <w:sz w:val="20"/>
            <w:color w:val="0000ff"/>
          </w:rPr>
          <w:t xml:space="preserve">декларацию</w:t>
        </w:r>
      </w:hyperlink>
      <w:r>
        <w:rPr>
          <w:sz w:val="20"/>
        </w:rPr>
        <w:t xml:space="preserve"> пожарной безопасности (далее - заявители) в соответствии с </w:t>
      </w:r>
      <w:hyperlink w:history="0" r:id="rId10"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частью 5 статьи 6</w:t>
        </w:r>
      </w:hyperlink>
      <w:r>
        <w:rPr>
          <w:sz w:val="20"/>
        </w:rPr>
        <w:t xml:space="preserve"> Федерального закона от 22 июля 2008 г. N 123-ФЗ "Технический регламент о требованиях пожарной безопасности".</w:t>
      </w:r>
    </w:p>
    <w:p>
      <w:pPr>
        <w:pStyle w:val="0"/>
        <w:jc w:val="both"/>
      </w:pPr>
      <w:r>
        <w:rPr>
          <w:sz w:val="20"/>
        </w:rPr>
      </w:r>
    </w:p>
    <w:p>
      <w:pPr>
        <w:pStyle w:val="2"/>
        <w:outlineLvl w:val="2"/>
        <w:jc w:val="center"/>
      </w:pPr>
      <w:r>
        <w:rPr>
          <w:sz w:val="20"/>
        </w:rPr>
        <w:t xml:space="preserve">Требования к порядку информирования о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3. Информирование по вопросам предоставления государственной услуги осуществляет МЧС России, его территориальные органы, а также территориальные, объектовые, специальные и воинские подразделения федеральной противопожарной службы, в сферу ведения которых входят вопросы организации и осуществления государственного пожарного надзора.</w:t>
      </w:r>
    </w:p>
    <w:bookmarkStart w:id="60" w:name="P60"/>
    <w:bookmarkEnd w:id="60"/>
    <w:p>
      <w:pPr>
        <w:pStyle w:val="0"/>
        <w:spacing w:before="200" w:line-rule="auto"/>
        <w:ind w:firstLine="540"/>
        <w:jc w:val="both"/>
      </w:pPr>
      <w:r>
        <w:rPr>
          <w:sz w:val="20"/>
        </w:rPr>
        <w:t xml:space="preserve">4. Информация о государственной услуге предоставляется:</w:t>
      </w:r>
    </w:p>
    <w:p>
      <w:pPr>
        <w:pStyle w:val="0"/>
        <w:spacing w:before="200" w:line-rule="auto"/>
        <w:ind w:firstLine="540"/>
        <w:jc w:val="both"/>
      </w:pPr>
      <w:r>
        <w:rPr>
          <w:sz w:val="20"/>
        </w:rPr>
        <w:t xml:space="preserve">посредством размещения информации о порядке предоставления государственной услуги на официальном сайте МЧС России в информационно-телекоммуникационной сети "Интернет" (</w:t>
      </w:r>
      <w:r>
        <w:rPr>
          <w:sz w:val="20"/>
        </w:rPr>
        <w:t xml:space="preserve">www.mchs.gov.ru</w:t>
      </w:r>
      <w:r>
        <w:rPr>
          <w:sz w:val="20"/>
        </w:rPr>
        <w:t xml:space="preserve">) (далее - официальный сайт МЧС России) и на официальных сайтах территориальных органов МЧС России в информационно-телекоммуникационной сети "Интернет" (далее - официальные сайты территориальных органов МЧС России);</w:t>
      </w:r>
    </w:p>
    <w:p>
      <w:pPr>
        <w:pStyle w:val="0"/>
        <w:spacing w:before="200" w:line-rule="auto"/>
        <w:ind w:firstLine="540"/>
        <w:jc w:val="both"/>
      </w:pPr>
      <w:r>
        <w:rPr>
          <w:sz w:val="20"/>
        </w:rPr>
        <w:t xml:space="preserve">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услуг) и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(далее - Единый портал государственных услуг) в соответствии с </w:t>
      </w:r>
      <w:hyperlink w:history="0" r:id="rId11"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постановлением</w:t>
        </w:r>
      </w:hyperlink>
      <w:r>
        <w:rPr>
          <w:sz w:val="20"/>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2011, N 44, ст. 6274; 2019, N 47, ст. 6675.</w:t>
      </w:r>
    </w:p>
    <w:p>
      <w:pPr>
        <w:pStyle w:val="0"/>
        <w:jc w:val="both"/>
      </w:pPr>
      <w:r>
        <w:rPr>
          <w:sz w:val="20"/>
        </w:rPr>
      </w:r>
    </w:p>
    <w:p>
      <w:pPr>
        <w:pStyle w:val="0"/>
        <w:ind w:firstLine="540"/>
        <w:jc w:val="both"/>
      </w:pPr>
      <w:r>
        <w:rPr>
          <w:sz w:val="20"/>
        </w:rPr>
        <w:t xml:space="preserve">посредством размещения на информационных стендах МЧС России, его территориальных органов, а также территориальных,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государственного пожарного надзора;</w:t>
      </w:r>
    </w:p>
    <w:p>
      <w:pPr>
        <w:pStyle w:val="0"/>
        <w:spacing w:before="200" w:line-rule="auto"/>
        <w:ind w:firstLine="540"/>
        <w:jc w:val="both"/>
      </w:pPr>
      <w:r>
        <w:rPr>
          <w:sz w:val="20"/>
        </w:rPr>
        <w:t xml:space="preserve">посредством телефонной связи, а также при устных или письменных обращениях.</w:t>
      </w:r>
    </w:p>
    <w:p>
      <w:pPr>
        <w:pStyle w:val="0"/>
        <w:spacing w:before="200" w:line-rule="auto"/>
        <w:ind w:firstLine="540"/>
        <w:jc w:val="both"/>
      </w:pPr>
      <w:r>
        <w:rPr>
          <w:sz w:val="20"/>
        </w:rPr>
        <w:t xml:space="preserve">5. Информирование заявителей о порядке предоставления государственной услуги осуществляется на безвозмездной основе.</w:t>
      </w:r>
    </w:p>
    <w:p>
      <w:pPr>
        <w:pStyle w:val="0"/>
        <w:spacing w:before="200" w:line-rule="auto"/>
        <w:ind w:firstLine="540"/>
        <w:jc w:val="both"/>
      </w:pPr>
      <w:r>
        <w:rPr>
          <w:sz w:val="20"/>
        </w:rPr>
        <w:t xml:space="preserve">6. Информация о месте нахождения, графике работы ответственных подразделений МЧС России, его территориальных органов, а также территориальных,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государственного пожарного надзора, справочных телефонах, адресах официальных сайтов, а также электронной почты, обращение в которые необходимо для получения государственной услуги, размещаются на официальном сайте МЧС России и официальных сайтах территориальных органов МЧС России, а также в Федеральном реестре государственных услуг и на Едином портале государственных услуг.</w:t>
      </w:r>
    </w:p>
    <w:p>
      <w:pPr>
        <w:pStyle w:val="0"/>
        <w:spacing w:before="200" w:line-rule="auto"/>
        <w:ind w:firstLine="540"/>
        <w:jc w:val="both"/>
      </w:pPr>
      <w:r>
        <w:rPr>
          <w:sz w:val="20"/>
        </w:rPr>
        <w:t xml:space="preserve">7. На официальных сайтах МЧС России и официальных сайтах территориальных органов размещается следующая информация и документы о порядке предоставления государственной услуги:</w:t>
      </w:r>
    </w:p>
    <w:p>
      <w:pPr>
        <w:pStyle w:val="0"/>
        <w:spacing w:before="200" w:line-rule="auto"/>
        <w:ind w:firstLine="540"/>
        <w:jc w:val="both"/>
      </w:pPr>
      <w:r>
        <w:rPr>
          <w:sz w:val="20"/>
        </w:rPr>
        <w:t xml:space="preserve">текст нормативных правовых актов, регулирующих деятельность по предоставлению государственной услуги;</w:t>
      </w:r>
    </w:p>
    <w:p>
      <w:pPr>
        <w:pStyle w:val="0"/>
        <w:spacing w:before="200" w:line-rule="auto"/>
        <w:ind w:firstLine="540"/>
        <w:jc w:val="both"/>
      </w:pPr>
      <w:hyperlink w:history="0" w:anchor="P530" w:tooltip="ДЕКЛАРАЦИЯ">
        <w:r>
          <w:rPr>
            <w:sz w:val="20"/>
            <w:color w:val="0000ff"/>
          </w:rPr>
          <w:t xml:space="preserve">форма</w:t>
        </w:r>
      </w:hyperlink>
      <w:r>
        <w:rPr>
          <w:sz w:val="20"/>
        </w:rPr>
        <w:t xml:space="preserve"> декларации пожарной безопасности;</w:t>
      </w:r>
    </w:p>
    <w:p>
      <w:pPr>
        <w:pStyle w:val="0"/>
        <w:spacing w:before="200" w:line-rule="auto"/>
        <w:ind w:firstLine="540"/>
        <w:jc w:val="both"/>
      </w:pPr>
      <w:r>
        <w:rPr>
          <w:sz w:val="20"/>
        </w:rPr>
        <w:t xml:space="preserve">перечень зарегистрированных деклараций пожарной безопасности (далее - перечень);</w:t>
      </w:r>
    </w:p>
    <w:p>
      <w:pPr>
        <w:pStyle w:val="0"/>
        <w:spacing w:before="200" w:line-rule="auto"/>
        <w:ind w:firstLine="540"/>
        <w:jc w:val="both"/>
      </w:pPr>
      <w:r>
        <w:rPr>
          <w:sz w:val="20"/>
        </w:rPr>
        <w:t xml:space="preserve">график работы МЧС России, его территориальных органов, а также территориальных,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государственного пожарного надзора.</w:t>
      </w:r>
    </w:p>
    <w:p>
      <w:pPr>
        <w:pStyle w:val="0"/>
        <w:jc w:val="both"/>
      </w:pPr>
      <w:r>
        <w:rPr>
          <w:sz w:val="20"/>
        </w:rPr>
      </w:r>
    </w:p>
    <w:p>
      <w:pPr>
        <w:pStyle w:val="2"/>
        <w:outlineLvl w:val="1"/>
        <w:jc w:val="center"/>
      </w:pPr>
      <w:r>
        <w:rPr>
          <w:sz w:val="20"/>
        </w:rPr>
        <w:t xml:space="preserve">II. Стандарт предоставления государственной услуги</w:t>
      </w:r>
    </w:p>
    <w:p>
      <w:pPr>
        <w:pStyle w:val="0"/>
        <w:jc w:val="both"/>
      </w:pPr>
      <w:r>
        <w:rPr>
          <w:sz w:val="20"/>
        </w:rPr>
      </w:r>
    </w:p>
    <w:p>
      <w:pPr>
        <w:pStyle w:val="2"/>
        <w:outlineLvl w:val="2"/>
        <w:jc w:val="center"/>
      </w:pPr>
      <w:r>
        <w:rPr>
          <w:sz w:val="20"/>
        </w:rPr>
        <w:t xml:space="preserve">Наименование государственной услуги</w:t>
      </w:r>
    </w:p>
    <w:p>
      <w:pPr>
        <w:pStyle w:val="0"/>
        <w:jc w:val="both"/>
      </w:pPr>
      <w:r>
        <w:rPr>
          <w:sz w:val="20"/>
        </w:rPr>
      </w:r>
    </w:p>
    <w:p>
      <w:pPr>
        <w:pStyle w:val="0"/>
        <w:ind w:firstLine="540"/>
        <w:jc w:val="both"/>
      </w:pPr>
      <w:r>
        <w:rPr>
          <w:sz w:val="20"/>
        </w:rPr>
        <w:t xml:space="preserve">8. Государственная услуга по регистрации </w:t>
      </w:r>
      <w:hyperlink w:history="0" w:anchor="P530" w:tooltip="ДЕКЛАРАЦИЯ">
        <w:r>
          <w:rPr>
            <w:sz w:val="20"/>
            <w:color w:val="0000ff"/>
          </w:rPr>
          <w:t xml:space="preserve">декларации</w:t>
        </w:r>
      </w:hyperlink>
      <w:r>
        <w:rPr>
          <w:sz w:val="20"/>
        </w:rPr>
        <w:t xml:space="preserve"> пожарной безопасности (далее - декларация).</w:t>
      </w:r>
    </w:p>
    <w:p>
      <w:pPr>
        <w:pStyle w:val="0"/>
        <w:jc w:val="both"/>
      </w:pPr>
      <w:r>
        <w:rPr>
          <w:sz w:val="20"/>
        </w:rPr>
      </w:r>
    </w:p>
    <w:p>
      <w:pPr>
        <w:pStyle w:val="2"/>
        <w:outlineLvl w:val="2"/>
        <w:jc w:val="center"/>
      </w:pPr>
      <w:r>
        <w:rPr>
          <w:sz w:val="20"/>
        </w:rPr>
        <w:t xml:space="preserve">Наименование органа, предоставляющего</w:t>
      </w:r>
    </w:p>
    <w:p>
      <w:pPr>
        <w:pStyle w:val="2"/>
        <w:jc w:val="center"/>
      </w:pPr>
      <w:r>
        <w:rPr>
          <w:sz w:val="20"/>
        </w:rPr>
        <w:t xml:space="preserve">государственную услугу</w:t>
      </w:r>
    </w:p>
    <w:p>
      <w:pPr>
        <w:pStyle w:val="0"/>
        <w:jc w:val="both"/>
      </w:pPr>
      <w:r>
        <w:rPr>
          <w:sz w:val="20"/>
        </w:rPr>
      </w:r>
    </w:p>
    <w:p>
      <w:pPr>
        <w:pStyle w:val="0"/>
        <w:ind w:firstLine="540"/>
        <w:jc w:val="both"/>
      </w:pPr>
      <w:r>
        <w:rPr>
          <w:sz w:val="20"/>
        </w:rPr>
        <w:t xml:space="preserve">9. Государственная услуга предоставляется МЧС России, его территориальными органами, а также территориальными, объектовыми, специальными и воинскими подразделениями федеральной противопожарной службы, в сферу ведения которых входят вопросы организации и осуществления государственного пожарного надзора (далее - подразделения МЧС России, предоставляющие государственную услугу) в зависимости от расположения объектов защиты с учетом требований </w:t>
      </w:r>
      <w:hyperlink w:history="0" w:anchor="P287" w:tooltip="38. Уточненная декларация представляется в течение одного года со дня изменения содержащихся в ней сведений.">
        <w:r>
          <w:rPr>
            <w:sz w:val="20"/>
            <w:color w:val="0000ff"/>
          </w:rPr>
          <w:t xml:space="preserve">пункта 38</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10. При предоставлении государственной услуги должностные лица подразделения МЧС России, предоставляющего государственную услугу,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w:history="0" r:id="rId12" w:tooltip="Постановление Правительства РФ от 06.05.2011 N 352 (ред. от 14.07.2022)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2011, N 20, ст. 2829; 2020, N 1, ст. 51.</w:t>
      </w:r>
    </w:p>
    <w:p>
      <w:pPr>
        <w:pStyle w:val="0"/>
        <w:jc w:val="both"/>
      </w:pPr>
      <w:r>
        <w:rPr>
          <w:sz w:val="20"/>
        </w:rPr>
      </w:r>
    </w:p>
    <w:p>
      <w:pPr>
        <w:pStyle w:val="2"/>
        <w:outlineLvl w:val="2"/>
        <w:jc w:val="center"/>
      </w:pPr>
      <w:r>
        <w:rPr>
          <w:sz w:val="20"/>
        </w:rPr>
        <w:t xml:space="preserve">Описание результата предоставления государственной услуги</w:t>
      </w:r>
    </w:p>
    <w:p>
      <w:pPr>
        <w:pStyle w:val="0"/>
        <w:jc w:val="both"/>
      </w:pPr>
      <w:r>
        <w:rPr>
          <w:sz w:val="20"/>
        </w:rPr>
      </w:r>
    </w:p>
    <w:p>
      <w:pPr>
        <w:pStyle w:val="0"/>
        <w:ind w:firstLine="540"/>
        <w:jc w:val="both"/>
      </w:pPr>
      <w:r>
        <w:rPr>
          <w:sz w:val="20"/>
        </w:rPr>
        <w:t xml:space="preserve">11. Результатом предоставления государственной услуги является направление заявителю зарегистрированной </w:t>
      </w:r>
      <w:hyperlink w:history="0" w:anchor="P530" w:tooltip="ДЕКЛАРАЦИЯ">
        <w:r>
          <w:rPr>
            <w:sz w:val="20"/>
            <w:color w:val="0000ff"/>
          </w:rPr>
          <w:t xml:space="preserve">декларации</w:t>
        </w:r>
      </w:hyperlink>
      <w:r>
        <w:rPr>
          <w:sz w:val="20"/>
        </w:rPr>
        <w:t xml:space="preserve">.</w:t>
      </w:r>
    </w:p>
    <w:p>
      <w:pPr>
        <w:pStyle w:val="0"/>
        <w:jc w:val="both"/>
      </w:pPr>
      <w:r>
        <w:rPr>
          <w:sz w:val="20"/>
        </w:rPr>
      </w:r>
    </w:p>
    <w:p>
      <w:pPr>
        <w:pStyle w:val="2"/>
        <w:outlineLvl w:val="2"/>
        <w:jc w:val="center"/>
      </w:pPr>
      <w:r>
        <w:rPr>
          <w:sz w:val="20"/>
        </w:rPr>
        <w:t xml:space="preserve">Срок предоставления государственной услуги,</w:t>
      </w:r>
    </w:p>
    <w:p>
      <w:pPr>
        <w:pStyle w:val="2"/>
        <w:jc w:val="center"/>
      </w:pPr>
      <w:r>
        <w:rPr>
          <w:sz w:val="20"/>
        </w:rPr>
        <w:t xml:space="preserve">в том числе с учетом необходимости обращения в организации,</w:t>
      </w:r>
    </w:p>
    <w:p>
      <w:pPr>
        <w:pStyle w:val="2"/>
        <w:jc w:val="center"/>
      </w:pPr>
      <w:r>
        <w:rPr>
          <w:sz w:val="20"/>
        </w:rPr>
        <w:t xml:space="preserve">участвующие в предоставлении государственной услуги, срок</w:t>
      </w:r>
    </w:p>
    <w:p>
      <w:pPr>
        <w:pStyle w:val="2"/>
        <w:jc w:val="center"/>
      </w:pPr>
      <w:r>
        <w:rPr>
          <w:sz w:val="20"/>
        </w:rPr>
        <w:t xml:space="preserve">приостановления предоставления государственной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законодательством Российской Федерации, срок выдачи</w:t>
      </w:r>
    </w:p>
    <w:p>
      <w:pPr>
        <w:pStyle w:val="2"/>
        <w:jc w:val="center"/>
      </w:pPr>
      <w:r>
        <w:rPr>
          <w:sz w:val="20"/>
        </w:rPr>
        <w:t xml:space="preserve">(направления) документов, являющихся результатом</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12. Предоставление государственной услуги осуществляется в срок, не превышающий восьми рабочих дней со дня поступления заявления о регистрации </w:t>
      </w:r>
      <w:hyperlink w:history="0" w:anchor="P530" w:tooltip="ДЕКЛАРАЦИЯ">
        <w:r>
          <w:rPr>
            <w:sz w:val="20"/>
            <w:color w:val="0000ff"/>
          </w:rPr>
          <w:t xml:space="preserve">декларации</w:t>
        </w:r>
      </w:hyperlink>
      <w:r>
        <w:rPr>
          <w:sz w:val="20"/>
        </w:rPr>
        <w:t xml:space="preserve"> (далее - заявление), в который входит:</w:t>
      </w:r>
    </w:p>
    <w:p>
      <w:pPr>
        <w:pStyle w:val="0"/>
        <w:spacing w:before="200" w:line-rule="auto"/>
        <w:ind w:firstLine="540"/>
        <w:jc w:val="both"/>
      </w:pPr>
      <w:r>
        <w:rPr>
          <w:sz w:val="20"/>
        </w:rPr>
        <w:t xml:space="preserve">1) принятие решения о регистрации </w:t>
      </w:r>
      <w:hyperlink w:history="0" w:anchor="P530" w:tooltip="ДЕКЛАРАЦИЯ">
        <w:r>
          <w:rPr>
            <w:sz w:val="20"/>
            <w:color w:val="0000ff"/>
          </w:rPr>
          <w:t xml:space="preserve">декларации</w:t>
        </w:r>
      </w:hyperlink>
      <w:r>
        <w:rPr>
          <w:sz w:val="20"/>
        </w:rPr>
        <w:t xml:space="preserve"> или об отказе в ее регистрации - в срок, не превышающий пяти рабочих дней со дня регистрации подразделением МЧС России, предоставляющим государственную услугу, заявления;</w:t>
      </w:r>
    </w:p>
    <w:p>
      <w:pPr>
        <w:pStyle w:val="0"/>
        <w:spacing w:before="200" w:line-rule="auto"/>
        <w:ind w:firstLine="540"/>
        <w:jc w:val="both"/>
      </w:pPr>
      <w:r>
        <w:rPr>
          <w:sz w:val="20"/>
        </w:rPr>
        <w:t xml:space="preserve">2) направление заявителю зарегистрированной </w:t>
      </w:r>
      <w:hyperlink w:history="0" w:anchor="P530" w:tooltip="ДЕКЛАРАЦИЯ">
        <w:r>
          <w:rPr>
            <w:sz w:val="20"/>
            <w:color w:val="0000ff"/>
          </w:rPr>
          <w:t xml:space="preserve">декларации</w:t>
        </w:r>
      </w:hyperlink>
      <w:r>
        <w:rPr>
          <w:sz w:val="20"/>
        </w:rPr>
        <w:t xml:space="preserve"> или уведомления об отказе в ее регистрации - в срок, не превышающий трех рабочих дней со дня принятия решения о регистрации </w:t>
      </w:r>
      <w:hyperlink w:history="0" w:anchor="P530" w:tooltip="ДЕКЛАРАЦИЯ">
        <w:r>
          <w:rPr>
            <w:sz w:val="20"/>
            <w:color w:val="0000ff"/>
          </w:rPr>
          <w:t xml:space="preserve">декларации</w:t>
        </w:r>
      </w:hyperlink>
      <w:r>
        <w:rPr>
          <w:sz w:val="20"/>
        </w:rPr>
        <w:t xml:space="preserve"> или уведомления об отказе в ее регистрации.</w:t>
      </w:r>
    </w:p>
    <w:p>
      <w:pPr>
        <w:pStyle w:val="0"/>
        <w:jc w:val="both"/>
      </w:pPr>
      <w:r>
        <w:rPr>
          <w:sz w:val="20"/>
        </w:rPr>
      </w:r>
    </w:p>
    <w:p>
      <w:pPr>
        <w:pStyle w:val="2"/>
        <w:outlineLvl w:val="2"/>
        <w:jc w:val="center"/>
      </w:pPr>
      <w:r>
        <w:rPr>
          <w:sz w:val="20"/>
        </w:rPr>
        <w:t xml:space="preserve">Нормативные правовые акты, регулирующие предоставление</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13. Перечень нормативных правовых актов, регулирующих предоставление государственной услуги, размещен на официальном сайте МЧС России и на официальных сайтах территориальных органов МЧС России, а также в Федеральном реестре государственных услуг и на Едином портале государственных услуг.</w:t>
      </w:r>
    </w:p>
    <w:p>
      <w:pPr>
        <w:pStyle w:val="0"/>
        <w:jc w:val="both"/>
      </w:pPr>
      <w:r>
        <w:rPr>
          <w:sz w:val="20"/>
        </w:rPr>
      </w:r>
    </w:p>
    <w:p>
      <w:pPr>
        <w:pStyle w:val="2"/>
        <w:outlineLvl w:val="2"/>
        <w:jc w:val="center"/>
      </w:pPr>
      <w:r>
        <w:rPr>
          <w:sz w:val="20"/>
        </w:rPr>
        <w:t xml:space="preserve">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государственной услуги и услуг,</w:t>
      </w:r>
    </w:p>
    <w:p>
      <w:pPr>
        <w:pStyle w:val="2"/>
        <w:jc w:val="center"/>
      </w:pPr>
      <w:r>
        <w:rPr>
          <w:sz w:val="20"/>
        </w:rPr>
        <w:t xml:space="preserve">которые являются необходимыми и обязательными</w:t>
      </w:r>
    </w:p>
    <w:p>
      <w:pPr>
        <w:pStyle w:val="2"/>
        <w:jc w:val="center"/>
      </w:pPr>
      <w:r>
        <w:rPr>
          <w:sz w:val="20"/>
        </w:rPr>
        <w:t xml:space="preserve">для предоставления государственной услуги, подлежащих</w:t>
      </w:r>
    </w:p>
    <w:p>
      <w:pPr>
        <w:pStyle w:val="2"/>
        <w:jc w:val="center"/>
      </w:pPr>
      <w:r>
        <w:rPr>
          <w:sz w:val="20"/>
        </w:rPr>
        <w:t xml:space="preserve">представлению заявителем, способы их получения заявителем,</w:t>
      </w:r>
    </w:p>
    <w:p>
      <w:pPr>
        <w:pStyle w:val="2"/>
        <w:jc w:val="center"/>
      </w:pPr>
      <w:r>
        <w:rPr>
          <w:sz w:val="20"/>
        </w:rPr>
        <w:t xml:space="preserve">в том числе в электронной форме, порядок их представления</w:t>
      </w:r>
    </w:p>
    <w:p>
      <w:pPr>
        <w:pStyle w:val="0"/>
        <w:jc w:val="both"/>
      </w:pPr>
      <w:r>
        <w:rPr>
          <w:sz w:val="20"/>
        </w:rPr>
      </w:r>
    </w:p>
    <w:bookmarkStart w:id="120" w:name="P120"/>
    <w:bookmarkEnd w:id="120"/>
    <w:p>
      <w:pPr>
        <w:pStyle w:val="0"/>
        <w:ind w:firstLine="540"/>
        <w:jc w:val="both"/>
      </w:pPr>
      <w:r>
        <w:rPr>
          <w:sz w:val="20"/>
        </w:rPr>
        <w:t xml:space="preserve">14. Для предоставления государственной услуги заявитель представляет в подразделение МЧС России, предоставляющее государственную услугу, заявление, по форме, согласно </w:t>
      </w:r>
      <w:hyperlink w:history="0" w:anchor="P442" w:tooltip="Заявление">
        <w:r>
          <w:rPr>
            <w:sz w:val="20"/>
            <w:color w:val="0000ff"/>
          </w:rPr>
          <w:t xml:space="preserve">приложению N 1</w:t>
        </w:r>
      </w:hyperlink>
      <w:r>
        <w:rPr>
          <w:sz w:val="20"/>
        </w:rPr>
        <w:t xml:space="preserve"> к настоящему Административному регламенту, и декларацию в двух экземплярах по форме, согласно </w:t>
      </w:r>
      <w:hyperlink w:history="0" w:anchor="P530" w:tooltip="ДЕКЛАРАЦИЯ">
        <w:r>
          <w:rPr>
            <w:sz w:val="20"/>
            <w:color w:val="0000ff"/>
          </w:rPr>
          <w:t xml:space="preserve">приложению N 2</w:t>
        </w:r>
      </w:hyperlink>
      <w:r>
        <w:rPr>
          <w:sz w:val="20"/>
        </w:rPr>
        <w:t xml:space="preserve"> к настоящему Приказу. К </w:t>
      </w:r>
      <w:hyperlink w:history="0" w:anchor="P530" w:tooltip="ДЕКЛАРАЦИЯ">
        <w:r>
          <w:rPr>
            <w:sz w:val="20"/>
            <w:color w:val="0000ff"/>
          </w:rPr>
          <w:t xml:space="preserve">декларации</w:t>
        </w:r>
      </w:hyperlink>
      <w:r>
        <w:rPr>
          <w:sz w:val="20"/>
        </w:rPr>
        <w:t xml:space="preserve"> прилагаются расчеты по оценке пожарного риска, в случае их проведения в соответствии со </w:t>
      </w:r>
      <w:hyperlink w:history="0" r:id="rId13"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статьей 6</w:t>
        </w:r>
      </w:hyperlink>
      <w:r>
        <w:rPr>
          <w:sz w:val="20"/>
        </w:rPr>
        <w:t xml:space="preserve"> Федерального закона от 22 июля 2008 г. N 123-ФЗ "Технический регламент о требованиях пожарной безопасности" и копия страхового полиса (при наличии).</w:t>
      </w:r>
    </w:p>
    <w:p>
      <w:pPr>
        <w:pStyle w:val="0"/>
        <w:spacing w:before="200" w:line-rule="auto"/>
        <w:ind w:firstLine="540"/>
        <w:jc w:val="both"/>
      </w:pPr>
      <w:r>
        <w:rPr>
          <w:sz w:val="20"/>
        </w:rPr>
        <w:t xml:space="preserve">Заявитель представляет </w:t>
      </w:r>
      <w:hyperlink w:history="0" w:anchor="P530" w:tooltip="ДЕКЛАРАЦИЯ">
        <w:r>
          <w:rPr>
            <w:sz w:val="20"/>
            <w:color w:val="0000ff"/>
          </w:rPr>
          <w:t xml:space="preserve">декларацию</w:t>
        </w:r>
      </w:hyperlink>
      <w:r>
        <w:rPr>
          <w:sz w:val="20"/>
        </w:rPr>
        <w:t xml:space="preserve"> лично или направляет почтовым отправлением с уведомлением о вручении, либо в виде электронного документа, подписанного электронной подписью заявителя, через Единый портал государственных услуг.</w:t>
      </w:r>
    </w:p>
    <w:p>
      <w:pPr>
        <w:pStyle w:val="0"/>
        <w:spacing w:before="200" w:line-rule="auto"/>
        <w:ind w:firstLine="540"/>
        <w:jc w:val="both"/>
      </w:pPr>
      <w:r>
        <w:rPr>
          <w:sz w:val="20"/>
        </w:rPr>
        <w:t xml:space="preserve">15. В случае изменения содержащихся в </w:t>
      </w:r>
      <w:hyperlink w:history="0" w:anchor="P530" w:tooltip="ДЕКЛАРАЦИЯ">
        <w:r>
          <w:rPr>
            <w:sz w:val="20"/>
            <w:color w:val="0000ff"/>
          </w:rPr>
          <w:t xml:space="preserve">декларации</w:t>
        </w:r>
      </w:hyperlink>
      <w:r>
        <w:rPr>
          <w:sz w:val="20"/>
        </w:rPr>
        <w:t xml:space="preserve"> сведений, в том числе в случае смены собственника объекта защиты или лица, владеющего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а также изменения функционального назначения либо капитального ремонта, реконструкции или технического перевооружения объекта защиты, заявитель представляет в подразделение МЧС России, предоставляющее государственную услугу, уточненную декларацию в двух экземплярах по форме согласно </w:t>
      </w:r>
      <w:hyperlink w:history="0" w:anchor="P530" w:tooltip="ДЕКЛАРАЦИЯ">
        <w:r>
          <w:rPr>
            <w:sz w:val="20"/>
            <w:color w:val="0000ff"/>
          </w:rPr>
          <w:t xml:space="preserve">приложению N 2</w:t>
        </w:r>
      </w:hyperlink>
      <w:r>
        <w:rPr>
          <w:sz w:val="20"/>
        </w:rPr>
        <w:t xml:space="preserve"> к настоящему Приказу.</w:t>
      </w:r>
    </w:p>
    <w:bookmarkStart w:id="123" w:name="P123"/>
    <w:bookmarkEnd w:id="123"/>
    <w:p>
      <w:pPr>
        <w:pStyle w:val="0"/>
        <w:spacing w:before="200" w:line-rule="auto"/>
        <w:ind w:firstLine="540"/>
        <w:jc w:val="both"/>
      </w:pPr>
      <w:r>
        <w:rPr>
          <w:sz w:val="20"/>
        </w:rPr>
        <w:t xml:space="preserve">16. На Едином портале государственных услуг заявителю предоставляется возможность заполнения заявления в электронной форме, которое подписывается усиленной квалифицированной электронной подписью или простой электронной подписью.</w:t>
      </w:r>
    </w:p>
    <w:p>
      <w:pPr>
        <w:pStyle w:val="0"/>
        <w:spacing w:before="200" w:line-rule="auto"/>
        <w:ind w:firstLine="540"/>
        <w:jc w:val="both"/>
      </w:pPr>
      <w:r>
        <w:rPr>
          <w:sz w:val="20"/>
        </w:rPr>
        <w:t xml:space="preserve">Заявители вправе использовать простую электронную подпись в случае, предусмотренном </w:t>
      </w:r>
      <w:hyperlink w:history="0" r:id="rId14" w:tooltip="Постановление Правительства РФ от 25.06.2012 N 634 (ред. от 24.05.2021)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пунктом 2.1</w:t>
        </w:r>
      </w:hyperlink>
      <w:r>
        <w:rPr>
          <w:sz w:val="20"/>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Собрание законодательства Российской Федерации, 2012, N 27, ст. 3744; 2018, N 36, ст. 5623.</w:t>
      </w:r>
    </w:p>
    <w:p>
      <w:pPr>
        <w:pStyle w:val="0"/>
        <w:jc w:val="both"/>
      </w:pPr>
      <w:r>
        <w:rPr>
          <w:sz w:val="20"/>
        </w:rPr>
      </w:r>
    </w:p>
    <w:p>
      <w:pPr>
        <w:pStyle w:val="2"/>
        <w:outlineLvl w:val="2"/>
        <w:jc w:val="center"/>
      </w:pPr>
      <w:r>
        <w:rPr>
          <w:sz w:val="20"/>
        </w:rPr>
        <w:t xml:space="preserve">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государственной услуги, которые</w:t>
      </w:r>
    </w:p>
    <w:p>
      <w:pPr>
        <w:pStyle w:val="2"/>
        <w:jc w:val="center"/>
      </w:pPr>
      <w:r>
        <w:rPr>
          <w:sz w:val="20"/>
        </w:rPr>
        <w:t xml:space="preserve">находятся в распоряжении государственных органов, органов</w:t>
      </w:r>
    </w:p>
    <w:p>
      <w:pPr>
        <w:pStyle w:val="2"/>
        <w:jc w:val="center"/>
      </w:pPr>
      <w:r>
        <w:rPr>
          <w:sz w:val="20"/>
        </w:rPr>
        <w:t xml:space="preserve">местного самоуправления и иных органов, участвующих</w:t>
      </w:r>
    </w:p>
    <w:p>
      <w:pPr>
        <w:pStyle w:val="2"/>
        <w:jc w:val="center"/>
      </w:pPr>
      <w:r>
        <w:rPr>
          <w:sz w:val="20"/>
        </w:rPr>
        <w:t xml:space="preserve">в предоставлении государственных или муниципальных услуг,</w:t>
      </w:r>
    </w:p>
    <w:p>
      <w:pPr>
        <w:pStyle w:val="2"/>
        <w:jc w:val="center"/>
      </w:pPr>
      <w:r>
        <w:rPr>
          <w:sz w:val="20"/>
        </w:rPr>
        <w:t xml:space="preserve">и которые заявитель вправе представить, а также способы</w:t>
      </w:r>
    </w:p>
    <w:p>
      <w:pPr>
        <w:pStyle w:val="2"/>
        <w:jc w:val="center"/>
      </w:pPr>
      <w:r>
        <w:rPr>
          <w:sz w:val="20"/>
        </w:rPr>
        <w:t xml:space="preserve">их получения заявителями, в том числе в электронной</w:t>
      </w:r>
    </w:p>
    <w:p>
      <w:pPr>
        <w:pStyle w:val="2"/>
        <w:jc w:val="center"/>
      </w:pPr>
      <w:r>
        <w:rPr>
          <w:sz w:val="20"/>
        </w:rPr>
        <w:t xml:space="preserve">форме, порядок их представления</w:t>
      </w:r>
    </w:p>
    <w:p>
      <w:pPr>
        <w:pStyle w:val="0"/>
        <w:jc w:val="both"/>
      </w:pPr>
      <w:r>
        <w:rPr>
          <w:sz w:val="20"/>
        </w:rPr>
      </w:r>
    </w:p>
    <w:p>
      <w:pPr>
        <w:pStyle w:val="0"/>
        <w:ind w:firstLine="540"/>
        <w:jc w:val="both"/>
      </w:pPr>
      <w:r>
        <w:rPr>
          <w:sz w:val="20"/>
        </w:rPr>
        <w:t xml:space="preserve">17. Для предоставления государственной услуги представление документов, находящихся в распоряжении государственных органов, органов местного самоуправления и иных органов, не требуется.</w:t>
      </w:r>
    </w:p>
    <w:p>
      <w:pPr>
        <w:pStyle w:val="0"/>
        <w:spacing w:before="200" w:line-rule="auto"/>
        <w:ind w:firstLine="540"/>
        <w:jc w:val="both"/>
      </w:pPr>
      <w:r>
        <w:rPr>
          <w:sz w:val="20"/>
        </w:rPr>
        <w:t xml:space="preserve">18. Подразделение МЧС России, предоставляющее государственную услугу, не вправе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0"/>
            <w:color w:val="0000ff"/>
          </w:rPr>
          <w:t xml:space="preserve">части 6 статьи 7</w:t>
        </w:r>
      </w:hyperlink>
      <w:r>
        <w:rPr>
          <w:sz w:val="20"/>
        </w:rPr>
        <w:t xml:space="preserve"> Федерального закона от 27 июля 2010 г.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0"/>
            <w:color w:val="0000ff"/>
          </w:rPr>
          <w:t xml:space="preserve">пунктом 4 части 1 статьи 7</w:t>
        </w:r>
      </w:hyperlink>
      <w:r>
        <w:rPr>
          <w:sz w:val="20"/>
        </w:rPr>
        <w:t xml:space="preserve"> Федерального закона от 27 июля 2010 г. N 210-ФЗ "Об организации предоставления государственных и муниципальных услуг".</w:t>
      </w:r>
    </w:p>
    <w:p>
      <w:pPr>
        <w:pStyle w:val="0"/>
        <w:jc w:val="both"/>
      </w:pPr>
      <w:r>
        <w:rPr>
          <w:sz w:val="20"/>
        </w:rPr>
      </w:r>
    </w:p>
    <w:p>
      <w:pPr>
        <w:pStyle w:val="2"/>
        <w:outlineLvl w:val="2"/>
        <w:jc w:val="center"/>
      </w:pPr>
      <w:r>
        <w:rPr>
          <w:sz w:val="20"/>
        </w:rPr>
        <w:t xml:space="preserve">Исчерпывающий перечень оснований для отказа в приеме</w:t>
      </w:r>
    </w:p>
    <w:p>
      <w:pPr>
        <w:pStyle w:val="2"/>
        <w:jc w:val="center"/>
      </w:pPr>
      <w:r>
        <w:rPr>
          <w:sz w:val="20"/>
        </w:rPr>
        <w:t xml:space="preserve">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19. Основания для отказа в приеме документов, необходимых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Исчерпывающий перечень оснований для приостановления</w:t>
      </w:r>
    </w:p>
    <w:p>
      <w:pPr>
        <w:pStyle w:val="2"/>
        <w:jc w:val="center"/>
      </w:pPr>
      <w:r>
        <w:rPr>
          <w:sz w:val="20"/>
        </w:rPr>
        <w:t xml:space="preserve">или отказа в предоставлении государственной услуги</w:t>
      </w:r>
    </w:p>
    <w:p>
      <w:pPr>
        <w:pStyle w:val="0"/>
        <w:jc w:val="both"/>
      </w:pPr>
      <w:r>
        <w:rPr>
          <w:sz w:val="20"/>
        </w:rPr>
      </w:r>
    </w:p>
    <w:p>
      <w:pPr>
        <w:pStyle w:val="0"/>
        <w:ind w:firstLine="540"/>
        <w:jc w:val="both"/>
      </w:pPr>
      <w:r>
        <w:rPr>
          <w:sz w:val="20"/>
        </w:rPr>
        <w:t xml:space="preserve">20. Основания для приостановления предоставления государственной услуги отсутствуют.</w:t>
      </w:r>
    </w:p>
    <w:bookmarkStart w:id="154" w:name="P154"/>
    <w:bookmarkEnd w:id="154"/>
    <w:p>
      <w:pPr>
        <w:pStyle w:val="0"/>
        <w:spacing w:before="200" w:line-rule="auto"/>
        <w:ind w:firstLine="540"/>
        <w:jc w:val="both"/>
      </w:pPr>
      <w:r>
        <w:rPr>
          <w:sz w:val="20"/>
        </w:rPr>
        <w:t xml:space="preserve">21. Основанием для отказа в предоставлении государственной услуги является:</w:t>
      </w:r>
    </w:p>
    <w:p>
      <w:pPr>
        <w:pStyle w:val="0"/>
        <w:spacing w:before="200" w:line-rule="auto"/>
        <w:ind w:firstLine="540"/>
        <w:jc w:val="both"/>
      </w:pPr>
      <w:r>
        <w:rPr>
          <w:sz w:val="20"/>
        </w:rPr>
        <w:t xml:space="preserve">непредставление документов, указанных в </w:t>
      </w:r>
      <w:hyperlink w:history="0" w:anchor="P120" w:tooltip="14. Для предоставления государственной услуги заявитель представляет в подразделение МЧС России, предоставляющее государственную услугу, заявление, по форме, согласно приложению N 1 к настоящему Административному регламенту, и декларацию в двух экземплярах по форме, согласно приложению N 2 к настоящему Приказу. К декларации прилагаются расчеты по оценке пожарного риска, в случае их проведения в соответствии со статьей 6 Федерального закона от 22 июля 2008 г. N 123-ФЗ &quot;Технический регламент о требованиях ...">
        <w:r>
          <w:rPr>
            <w:sz w:val="20"/>
            <w:color w:val="0000ff"/>
          </w:rPr>
          <w:t xml:space="preserve">пункте 14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отсутствие в декларации сведений, предусмотренных формой, приведенной в </w:t>
      </w:r>
      <w:hyperlink w:history="0" w:anchor="P530" w:tooltip="ДЕКЛАРАЦИЯ">
        <w:r>
          <w:rPr>
            <w:sz w:val="20"/>
            <w:color w:val="0000ff"/>
          </w:rPr>
          <w:t xml:space="preserve">приложении N 2</w:t>
        </w:r>
      </w:hyperlink>
      <w:r>
        <w:rPr>
          <w:sz w:val="20"/>
        </w:rPr>
        <w:t xml:space="preserve"> к настоящему Приказу.</w:t>
      </w:r>
    </w:p>
    <w:p>
      <w:pPr>
        <w:pStyle w:val="0"/>
        <w:jc w:val="both"/>
      </w:pPr>
      <w:r>
        <w:rPr>
          <w:sz w:val="20"/>
        </w:rPr>
      </w:r>
    </w:p>
    <w:p>
      <w:pPr>
        <w:pStyle w:val="2"/>
        <w:outlineLvl w:val="2"/>
        <w:jc w:val="center"/>
      </w:pPr>
      <w:r>
        <w:rPr>
          <w:sz w:val="20"/>
        </w:rPr>
        <w:t xml:space="preserve">Перечень услуг, которые являются необходимыми</w:t>
      </w:r>
    </w:p>
    <w:p>
      <w:pPr>
        <w:pStyle w:val="2"/>
        <w:jc w:val="center"/>
      </w:pPr>
      <w:r>
        <w:rPr>
          <w:sz w:val="20"/>
        </w:rPr>
        <w:t xml:space="preserve">и обязательными для предоставления государственной услуги,</w:t>
      </w:r>
    </w:p>
    <w:p>
      <w:pPr>
        <w:pStyle w:val="2"/>
        <w:jc w:val="center"/>
      </w:pPr>
      <w:r>
        <w:rPr>
          <w:sz w:val="20"/>
        </w:rPr>
        <w:t xml:space="preserve">в том числе сведения о документе (документах), выдаваемом</w:t>
      </w:r>
    </w:p>
    <w:p>
      <w:pPr>
        <w:pStyle w:val="2"/>
        <w:jc w:val="center"/>
      </w:pPr>
      <w:r>
        <w:rPr>
          <w:sz w:val="20"/>
        </w:rPr>
        <w:t xml:space="preserve">(выдаваемых) организациями, участвующими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22.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pPr>
        <w:pStyle w:val="0"/>
        <w:jc w:val="both"/>
      </w:pPr>
      <w:r>
        <w:rPr>
          <w:sz w:val="20"/>
        </w:rPr>
      </w:r>
    </w:p>
    <w:p>
      <w:pPr>
        <w:pStyle w:val="2"/>
        <w:outlineLvl w:val="2"/>
        <w:jc w:val="center"/>
      </w:pPr>
      <w:r>
        <w:rPr>
          <w:sz w:val="20"/>
        </w:rPr>
        <w:t xml:space="preserve">Порядок, размер и основания взимания государственной</w:t>
      </w:r>
    </w:p>
    <w:p>
      <w:pPr>
        <w:pStyle w:val="2"/>
        <w:jc w:val="center"/>
      </w:pPr>
      <w:r>
        <w:rPr>
          <w:sz w:val="20"/>
        </w:rPr>
        <w:t xml:space="preserve">пошлины или иной платы, взимаемой за предоставление</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23. За предоставление государственной услуги государственная пошлина или иная плата не взимается.</w:t>
      </w:r>
    </w:p>
    <w:p>
      <w:pPr>
        <w:pStyle w:val="0"/>
        <w:jc w:val="both"/>
      </w:pPr>
      <w:r>
        <w:rPr>
          <w:sz w:val="20"/>
        </w:rPr>
      </w:r>
    </w:p>
    <w:p>
      <w:pPr>
        <w:pStyle w:val="2"/>
        <w:outlineLvl w:val="2"/>
        <w:jc w:val="center"/>
      </w:pPr>
      <w:r>
        <w:rPr>
          <w:sz w:val="20"/>
        </w:rPr>
        <w:t xml:space="preserve">Порядок, размер и основания взимания платы</w:t>
      </w:r>
    </w:p>
    <w:p>
      <w:pPr>
        <w:pStyle w:val="2"/>
        <w:jc w:val="center"/>
      </w:pPr>
      <w:r>
        <w:rPr>
          <w:sz w:val="20"/>
        </w:rPr>
        <w:t xml:space="preserve">за предоставление услуг, которые являются необходимыми</w:t>
      </w:r>
    </w:p>
    <w:p>
      <w:pPr>
        <w:pStyle w:val="2"/>
        <w:jc w:val="center"/>
      </w:pPr>
      <w:r>
        <w:rPr>
          <w:sz w:val="20"/>
        </w:rPr>
        <w:t xml:space="preserve">и обязательными для предоставления государственной услуги,</w:t>
      </w:r>
    </w:p>
    <w:p>
      <w:pPr>
        <w:pStyle w:val="2"/>
        <w:jc w:val="center"/>
      </w:pPr>
      <w:r>
        <w:rPr>
          <w:sz w:val="20"/>
        </w:rPr>
        <w:t xml:space="preserve">включая информацию о методике расчета размера такой платы</w:t>
      </w:r>
    </w:p>
    <w:p>
      <w:pPr>
        <w:pStyle w:val="0"/>
        <w:jc w:val="both"/>
      </w:pPr>
      <w:r>
        <w:rPr>
          <w:sz w:val="20"/>
        </w:rPr>
      </w:r>
    </w:p>
    <w:p>
      <w:pPr>
        <w:pStyle w:val="0"/>
        <w:ind w:firstLine="540"/>
        <w:jc w:val="both"/>
      </w:pPr>
      <w:r>
        <w:rPr>
          <w:sz w:val="20"/>
        </w:rPr>
        <w:t xml:space="preserve">24.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pPr>
        <w:pStyle w:val="0"/>
        <w:jc w:val="both"/>
      </w:pPr>
      <w:r>
        <w:rPr>
          <w:sz w:val="20"/>
        </w:rPr>
      </w:r>
    </w:p>
    <w:p>
      <w:pPr>
        <w:pStyle w:val="2"/>
        <w:outlineLvl w:val="2"/>
        <w:jc w:val="center"/>
      </w:pPr>
      <w:r>
        <w:rPr>
          <w:sz w:val="20"/>
        </w:rPr>
        <w:t xml:space="preserve">Максимальный срок ожидания в очереди при подаче</w:t>
      </w:r>
    </w:p>
    <w:p>
      <w:pPr>
        <w:pStyle w:val="2"/>
        <w:jc w:val="center"/>
      </w:pPr>
      <w:r>
        <w:rPr>
          <w:sz w:val="20"/>
        </w:rPr>
        <w:t xml:space="preserve">запроса о предоставлении государственной услуги,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и при получении результата</w:t>
      </w:r>
    </w:p>
    <w:p>
      <w:pPr>
        <w:pStyle w:val="2"/>
        <w:jc w:val="center"/>
      </w:pPr>
      <w:r>
        <w:rPr>
          <w:sz w:val="20"/>
        </w:rPr>
        <w:t xml:space="preserve">предоставления таких услуг</w:t>
      </w:r>
    </w:p>
    <w:p>
      <w:pPr>
        <w:pStyle w:val="0"/>
        <w:jc w:val="both"/>
      </w:pPr>
      <w:r>
        <w:rPr>
          <w:sz w:val="20"/>
        </w:rPr>
      </w:r>
    </w:p>
    <w:p>
      <w:pPr>
        <w:pStyle w:val="0"/>
        <w:ind w:firstLine="540"/>
        <w:jc w:val="both"/>
      </w:pPr>
      <w:r>
        <w:rPr>
          <w:sz w:val="20"/>
        </w:rPr>
        <w:t xml:space="preserve">25. Максимальный срок ожидания в очереди при подаче заявления составляет пятнадцать минут.</w:t>
      </w:r>
    </w:p>
    <w:p>
      <w:pPr>
        <w:pStyle w:val="0"/>
        <w:spacing w:before="200" w:line-rule="auto"/>
        <w:ind w:firstLine="540"/>
        <w:jc w:val="both"/>
      </w:pPr>
      <w:r>
        <w:rPr>
          <w:sz w:val="20"/>
        </w:rPr>
        <w:t xml:space="preserve">26. Максимальный срок ожидания в очереди при получении зарегистрированной декларации составляет пятнадцать минут.</w:t>
      </w:r>
    </w:p>
    <w:p>
      <w:pPr>
        <w:pStyle w:val="0"/>
        <w:jc w:val="both"/>
      </w:pPr>
      <w:r>
        <w:rPr>
          <w:sz w:val="20"/>
        </w:rPr>
      </w:r>
    </w:p>
    <w:p>
      <w:pPr>
        <w:pStyle w:val="2"/>
        <w:outlineLvl w:val="2"/>
        <w:jc w:val="center"/>
      </w:pPr>
      <w:r>
        <w:rPr>
          <w:sz w:val="20"/>
        </w:rPr>
        <w:t xml:space="preserve">Срок и порядок регистрации запроса заявителя</w:t>
      </w:r>
    </w:p>
    <w:p>
      <w:pPr>
        <w:pStyle w:val="2"/>
        <w:jc w:val="center"/>
      </w:pPr>
      <w:r>
        <w:rPr>
          <w:sz w:val="20"/>
        </w:rPr>
        <w:t xml:space="preserve">о предоставлении государственной услуги 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в том числе в электронной форме</w:t>
      </w:r>
    </w:p>
    <w:p>
      <w:pPr>
        <w:pStyle w:val="0"/>
        <w:jc w:val="both"/>
      </w:pPr>
      <w:r>
        <w:rPr>
          <w:sz w:val="20"/>
        </w:rPr>
      </w:r>
    </w:p>
    <w:p>
      <w:pPr>
        <w:pStyle w:val="0"/>
        <w:ind w:firstLine="540"/>
        <w:jc w:val="both"/>
      </w:pPr>
      <w:r>
        <w:rPr>
          <w:sz w:val="20"/>
        </w:rPr>
        <w:t xml:space="preserve">27. Регистрация заявления осуществляется в порядке очередности в день его поступления подразделением МЧС России, предоставляющим государственную услугу.</w:t>
      </w:r>
    </w:p>
    <w:p>
      <w:pPr>
        <w:pStyle w:val="0"/>
        <w:spacing w:before="200" w:line-rule="auto"/>
        <w:ind w:firstLine="540"/>
        <w:jc w:val="both"/>
      </w:pPr>
      <w:r>
        <w:rPr>
          <w:sz w:val="20"/>
        </w:rPr>
        <w:t xml:space="preserve">28. Регистрация заявления, поступившего в электронной форме с использованием Единого портала государственных услуг, осуществляется в автоматическом режиме в день его поступления.</w:t>
      </w:r>
    </w:p>
    <w:p>
      <w:pPr>
        <w:pStyle w:val="0"/>
        <w:jc w:val="both"/>
      </w:pPr>
      <w:r>
        <w:rPr>
          <w:sz w:val="20"/>
        </w:rPr>
      </w:r>
    </w:p>
    <w:p>
      <w:pPr>
        <w:pStyle w:val="2"/>
        <w:outlineLvl w:val="2"/>
        <w:jc w:val="center"/>
      </w:pPr>
      <w:r>
        <w:rPr>
          <w:sz w:val="20"/>
        </w:rPr>
        <w:t xml:space="preserve">Требования к помещениям, в которых предоставляется</w:t>
      </w:r>
    </w:p>
    <w:p>
      <w:pPr>
        <w:pStyle w:val="2"/>
        <w:jc w:val="center"/>
      </w:pPr>
      <w:r>
        <w:rPr>
          <w:sz w:val="20"/>
        </w:rPr>
        <w:t xml:space="preserve">государственная услуга,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w:t>
      </w:r>
    </w:p>
    <w:p>
      <w:pPr>
        <w:pStyle w:val="2"/>
        <w:jc w:val="center"/>
      </w:pPr>
      <w:r>
        <w:rPr>
          <w:sz w:val="20"/>
        </w:rPr>
        <w:t xml:space="preserve">каждой государственной услуги, размещению и оформлению</w:t>
      </w:r>
    </w:p>
    <w:p>
      <w:pPr>
        <w:pStyle w:val="2"/>
        <w:jc w:val="center"/>
      </w:pPr>
      <w:r>
        <w:rPr>
          <w:sz w:val="20"/>
        </w:rPr>
        <w:t xml:space="preserve">визуальной, текстовой и мультимедийной информации о порядке</w:t>
      </w:r>
    </w:p>
    <w:p>
      <w:pPr>
        <w:pStyle w:val="2"/>
        <w:jc w:val="center"/>
      </w:pPr>
      <w:r>
        <w:rPr>
          <w:sz w:val="20"/>
        </w:rPr>
        <w:t xml:space="preserve">предоставления такой услуги, в том числе к обеспечению</w:t>
      </w:r>
    </w:p>
    <w:p>
      <w:pPr>
        <w:pStyle w:val="2"/>
        <w:jc w:val="center"/>
      </w:pPr>
      <w:r>
        <w:rPr>
          <w:sz w:val="20"/>
        </w:rPr>
        <w:t xml:space="preserve">доступности для инвалидов указанных объектов в соответствии</w:t>
      </w:r>
    </w:p>
    <w:p>
      <w:pPr>
        <w:pStyle w:val="2"/>
        <w:jc w:val="center"/>
      </w:pPr>
      <w:r>
        <w:rPr>
          <w:sz w:val="20"/>
        </w:rPr>
        <w:t xml:space="preserve">с законодательством Российской Федерации о социальной</w:t>
      </w:r>
    </w:p>
    <w:p>
      <w:pPr>
        <w:pStyle w:val="2"/>
        <w:jc w:val="center"/>
      </w:pPr>
      <w:r>
        <w:rPr>
          <w:sz w:val="20"/>
        </w:rPr>
        <w:t xml:space="preserve">защите инвалидов</w:t>
      </w:r>
    </w:p>
    <w:p>
      <w:pPr>
        <w:pStyle w:val="0"/>
        <w:jc w:val="both"/>
      </w:pPr>
      <w:r>
        <w:rPr>
          <w:sz w:val="20"/>
        </w:rPr>
      </w:r>
    </w:p>
    <w:p>
      <w:pPr>
        <w:pStyle w:val="0"/>
        <w:ind w:firstLine="540"/>
        <w:jc w:val="both"/>
      </w:pPr>
      <w:r>
        <w:rPr>
          <w:sz w:val="20"/>
        </w:rPr>
        <w:t xml:space="preserve">29. Помещение, в котором предоставляется государственная услуга, должно обеспечиваться необходимыми для предоставления государственной услуги оборудованием, канцелярскими принадлежностями, офисной мебелью. Заявителям должен быть обеспечен доступ к следующим документам (сведениям) в электронном виде или на бумажном носителе:</w:t>
      </w:r>
    </w:p>
    <w:p>
      <w:pPr>
        <w:pStyle w:val="0"/>
        <w:spacing w:before="200" w:line-rule="auto"/>
        <w:ind w:firstLine="540"/>
        <w:jc w:val="both"/>
      </w:pPr>
      <w:r>
        <w:rPr>
          <w:sz w:val="20"/>
        </w:rPr>
        <w:t xml:space="preserve">тексты нормативных правовых актов, регулирующих деятельность по предоставлению государственной услуги;</w:t>
      </w:r>
    </w:p>
    <w:p>
      <w:pPr>
        <w:pStyle w:val="0"/>
        <w:spacing w:before="200" w:line-rule="auto"/>
        <w:ind w:firstLine="540"/>
        <w:jc w:val="both"/>
      </w:pPr>
      <w:r>
        <w:rPr>
          <w:sz w:val="20"/>
        </w:rPr>
        <w:t xml:space="preserve">текст настоящего Административного регламента;</w:t>
      </w:r>
    </w:p>
    <w:p>
      <w:pPr>
        <w:pStyle w:val="0"/>
        <w:spacing w:before="200" w:line-rule="auto"/>
        <w:ind w:firstLine="540"/>
        <w:jc w:val="both"/>
      </w:pPr>
      <w:hyperlink w:history="0" w:anchor="P530" w:tooltip="ДЕКЛАРАЦИЯ">
        <w:r>
          <w:rPr>
            <w:sz w:val="20"/>
            <w:color w:val="0000ff"/>
          </w:rPr>
          <w:t xml:space="preserve">форма</w:t>
        </w:r>
      </w:hyperlink>
      <w:r>
        <w:rPr>
          <w:sz w:val="20"/>
        </w:rPr>
        <w:t xml:space="preserve"> декларации.</w:t>
      </w:r>
    </w:p>
    <w:p>
      <w:pPr>
        <w:pStyle w:val="0"/>
        <w:spacing w:before="200" w:line-rule="auto"/>
        <w:ind w:firstLine="540"/>
        <w:jc w:val="both"/>
      </w:pPr>
      <w:r>
        <w:rPr>
          <w:sz w:val="20"/>
        </w:rPr>
        <w:t xml:space="preserve">30.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pPr>
        <w:pStyle w:val="0"/>
        <w:spacing w:before="200" w:line-rule="auto"/>
        <w:ind w:firstLine="540"/>
        <w:jc w:val="both"/>
      </w:pPr>
      <w:r>
        <w:rPr>
          <w:sz w:val="20"/>
        </w:rPr>
        <w:t xml:space="preserve">условия для беспрепятственного доступа к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pPr>
        <w:pStyle w:val="0"/>
        <w:spacing w:before="200" w:line-rule="auto"/>
        <w:ind w:firstLine="540"/>
        <w:jc w:val="both"/>
      </w:pPr>
      <w:r>
        <w:rPr>
          <w:sz w:val="20"/>
        </w:rPr>
        <w:t xml:space="preserve">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такие помещения и выхода из них,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сопровождение инвалидов, имеющих стойкие расстройства функции зрения и самостоятельного передвижения;</w:t>
      </w:r>
    </w:p>
    <w:p>
      <w:pPr>
        <w:pStyle w:val="0"/>
        <w:spacing w:before="200" w:line-rule="auto"/>
        <w:ind w:firstLine="540"/>
        <w:jc w:val="both"/>
      </w:pPr>
      <w:r>
        <w:rPr>
          <w:sz w:val="20"/>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государственная услуга, с учетом ограничений их жизнедеятельности;</w:t>
      </w:r>
    </w:p>
    <w:p>
      <w:pPr>
        <w:pStyle w:val="0"/>
        <w:spacing w:before="200" w:line-rule="auto"/>
        <w:ind w:firstLine="540"/>
        <w:jc w:val="both"/>
      </w:pPr>
      <w:r>
        <w:rPr>
          <w:sz w:val="2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допуск сурдопереводчика и тифлосурдопереводчика;</w:t>
      </w:r>
    </w:p>
    <w:p>
      <w:pPr>
        <w:pStyle w:val="0"/>
        <w:spacing w:before="200" w:line-rule="auto"/>
        <w:ind w:firstLine="540"/>
        <w:jc w:val="both"/>
      </w:pPr>
      <w:r>
        <w:rPr>
          <w:sz w:val="20"/>
        </w:rPr>
        <w:t xml:space="preserve">допуск собаки-проводника в помещения, в которых предоставляется государственная услуга;</w:t>
      </w:r>
    </w:p>
    <w:p>
      <w:pPr>
        <w:pStyle w:val="0"/>
        <w:spacing w:before="200" w:line-rule="auto"/>
        <w:ind w:firstLine="540"/>
        <w:jc w:val="both"/>
      </w:pPr>
      <w:r>
        <w:rPr>
          <w:sz w:val="20"/>
        </w:rPr>
        <w:t xml:space="preserve">оказание инвалидам помощи в преодолении барьеров, мешающих получению ими государственной услуги наравне с другими лицами.</w:t>
      </w:r>
    </w:p>
    <w:p>
      <w:pPr>
        <w:pStyle w:val="0"/>
        <w:spacing w:before="200" w:line-rule="auto"/>
        <w:ind w:firstLine="540"/>
        <w:jc w:val="both"/>
      </w:pPr>
      <w:r>
        <w:rPr>
          <w:sz w:val="20"/>
        </w:rPr>
        <w:t xml:space="preserve">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pPr>
        <w:pStyle w:val="0"/>
        <w:spacing w:before="200" w:line-rule="auto"/>
        <w:ind w:firstLine="540"/>
        <w:jc w:val="both"/>
      </w:pPr>
      <w:r>
        <w:rPr>
          <w:sz w:val="20"/>
        </w:rPr>
        <w:t xml:space="preserve">На каждой стоянке автотранспортных средств выделяется не менее десяти процентов мест (но не менее одного места) для парковки специальных автотранспортных средств инвалидов.</w:t>
      </w:r>
    </w:p>
    <w:p>
      <w:pPr>
        <w:pStyle w:val="0"/>
        <w:jc w:val="both"/>
      </w:pPr>
      <w:r>
        <w:rPr>
          <w:sz w:val="20"/>
        </w:rPr>
      </w:r>
    </w:p>
    <w:p>
      <w:pPr>
        <w:pStyle w:val="2"/>
        <w:outlineLvl w:val="2"/>
        <w:jc w:val="center"/>
      </w:pPr>
      <w:r>
        <w:rPr>
          <w:sz w:val="20"/>
        </w:rPr>
        <w:t xml:space="preserve">Показатели доступности и качества государственной</w:t>
      </w:r>
    </w:p>
    <w:p>
      <w:pPr>
        <w:pStyle w:val="2"/>
        <w:jc w:val="center"/>
      </w:pPr>
      <w:r>
        <w:rPr>
          <w:sz w:val="20"/>
        </w:rPr>
        <w:t xml:space="preserve">услуги, в том числе количество взаимодействий заявителя</w:t>
      </w:r>
    </w:p>
    <w:p>
      <w:pPr>
        <w:pStyle w:val="2"/>
        <w:jc w:val="center"/>
      </w:pPr>
      <w:r>
        <w:rPr>
          <w:sz w:val="20"/>
        </w:rPr>
        <w:t xml:space="preserve">с должностными лицами при предоставлении государственной</w:t>
      </w:r>
    </w:p>
    <w:p>
      <w:pPr>
        <w:pStyle w:val="2"/>
        <w:jc w:val="center"/>
      </w:pPr>
      <w:r>
        <w:rPr>
          <w:sz w:val="20"/>
        </w:rPr>
        <w:t xml:space="preserve">услуги и их продолжительность, возможность получения</w:t>
      </w:r>
    </w:p>
    <w:p>
      <w:pPr>
        <w:pStyle w:val="2"/>
        <w:jc w:val="center"/>
      </w:pPr>
      <w:r>
        <w:rPr>
          <w:sz w:val="20"/>
        </w:rPr>
        <w:t xml:space="preserve">информации о ходе предоставления государственной услуги,</w:t>
      </w:r>
    </w:p>
    <w:p>
      <w:pPr>
        <w:pStyle w:val="2"/>
        <w:jc w:val="center"/>
      </w:pPr>
      <w:r>
        <w:rPr>
          <w:sz w:val="20"/>
        </w:rPr>
        <w:t xml:space="preserve">в том числе с использованием информационно-коммуникационных</w:t>
      </w:r>
    </w:p>
    <w:p>
      <w:pPr>
        <w:pStyle w:val="2"/>
        <w:jc w:val="center"/>
      </w:pPr>
      <w:r>
        <w:rPr>
          <w:sz w:val="20"/>
        </w:rPr>
        <w:t xml:space="preserve">технологий, возможность либо невозможность получения</w:t>
      </w:r>
    </w:p>
    <w:p>
      <w:pPr>
        <w:pStyle w:val="2"/>
        <w:jc w:val="center"/>
      </w:pPr>
      <w:r>
        <w:rPr>
          <w:sz w:val="20"/>
        </w:rPr>
        <w:t xml:space="preserve">государственной услуги в многофункциональном центре</w:t>
      </w:r>
    </w:p>
    <w:p>
      <w:pPr>
        <w:pStyle w:val="2"/>
        <w:jc w:val="center"/>
      </w:pPr>
      <w:r>
        <w:rPr>
          <w:sz w:val="20"/>
        </w:rPr>
        <w:t xml:space="preserve">предоставления государственных и муниципальных услуг</w:t>
      </w:r>
    </w:p>
    <w:p>
      <w:pPr>
        <w:pStyle w:val="2"/>
        <w:jc w:val="center"/>
      </w:pPr>
      <w:r>
        <w:rPr>
          <w:sz w:val="20"/>
        </w:rPr>
        <w:t xml:space="preserve">(в том числе в полном объеме), в любом территориальном</w:t>
      </w:r>
    </w:p>
    <w:p>
      <w:pPr>
        <w:pStyle w:val="2"/>
        <w:jc w:val="center"/>
      </w:pPr>
      <w:r>
        <w:rPr>
          <w:sz w:val="20"/>
        </w:rPr>
        <w:t xml:space="preserve">подразделении органа, предоставляющего государственную</w:t>
      </w:r>
    </w:p>
    <w:p>
      <w:pPr>
        <w:pStyle w:val="2"/>
        <w:jc w:val="center"/>
      </w:pPr>
      <w:r>
        <w:rPr>
          <w:sz w:val="20"/>
        </w:rPr>
        <w:t xml:space="preserve">услугу, по выбору заявителя (экстерриториальный принцип),</w:t>
      </w:r>
    </w:p>
    <w:p>
      <w:pPr>
        <w:pStyle w:val="2"/>
        <w:jc w:val="center"/>
      </w:pPr>
      <w:r>
        <w:rPr>
          <w:sz w:val="20"/>
        </w:rPr>
        <w:t xml:space="preserve">посредством запроса о предоставлении нескольких</w:t>
      </w:r>
    </w:p>
    <w:p>
      <w:pPr>
        <w:pStyle w:val="2"/>
        <w:jc w:val="center"/>
      </w:pPr>
      <w:r>
        <w:rPr>
          <w:sz w:val="20"/>
        </w:rPr>
        <w:t xml:space="preserve">государственных и (или) муниципальных услуг</w:t>
      </w:r>
    </w:p>
    <w:p>
      <w:pPr>
        <w:pStyle w:val="2"/>
        <w:jc w:val="center"/>
      </w:pPr>
      <w:r>
        <w:rPr>
          <w:sz w:val="20"/>
        </w:rPr>
        <w:t xml:space="preserve">в многофункциональных центрах предоставления</w:t>
      </w:r>
    </w:p>
    <w:p>
      <w:pPr>
        <w:pStyle w:val="2"/>
        <w:jc w:val="center"/>
      </w:pPr>
      <w:r>
        <w:rPr>
          <w:sz w:val="20"/>
        </w:rPr>
        <w:t xml:space="preserve">государственных и муниципальных услуг, предусмотренного</w:t>
      </w:r>
    </w:p>
    <w:p>
      <w:pPr>
        <w:pStyle w:val="2"/>
        <w:jc w:val="center"/>
      </w:pPr>
      <w:r>
        <w:rPr>
          <w:sz w:val="20"/>
        </w:rPr>
        <w:t xml:space="preserve">статьей 15.1 Федерального закона от 27 июля 2010 г.</w:t>
      </w:r>
    </w:p>
    <w:p>
      <w:pPr>
        <w:pStyle w:val="2"/>
        <w:jc w:val="center"/>
      </w:pPr>
      <w:r>
        <w:rPr>
          <w:sz w:val="20"/>
        </w:rPr>
        <w:t xml:space="preserve">N 210-ФЗ "Об организации предоставления государственных</w:t>
      </w:r>
    </w:p>
    <w:p>
      <w:pPr>
        <w:pStyle w:val="2"/>
        <w:jc w:val="center"/>
      </w:pPr>
      <w:r>
        <w:rPr>
          <w:sz w:val="20"/>
        </w:rPr>
        <w:t xml:space="preserve">и муниципальных услуг"</w:t>
      </w:r>
    </w:p>
    <w:p>
      <w:pPr>
        <w:pStyle w:val="0"/>
        <w:jc w:val="both"/>
      </w:pPr>
      <w:r>
        <w:rPr>
          <w:sz w:val="20"/>
        </w:rPr>
      </w:r>
    </w:p>
    <w:p>
      <w:pPr>
        <w:pStyle w:val="0"/>
        <w:ind w:firstLine="540"/>
        <w:jc w:val="both"/>
      </w:pPr>
      <w:r>
        <w:rPr>
          <w:sz w:val="20"/>
        </w:rPr>
        <w:t xml:space="preserve">31. Показателями доступности и качества государственной услуги являются:</w:t>
      </w:r>
    </w:p>
    <w:p>
      <w:pPr>
        <w:pStyle w:val="0"/>
        <w:spacing w:before="200" w:line-rule="auto"/>
        <w:ind w:firstLine="540"/>
        <w:jc w:val="both"/>
      </w:pPr>
      <w:r>
        <w:rPr>
          <w:sz w:val="20"/>
        </w:rPr>
        <w:t xml:space="preserve">доступ к информации о порядке и сроках предоставления государственной услуги, порядке обжалования действий (бездействия) должностных лиц МЧС России;</w:t>
      </w:r>
    </w:p>
    <w:p>
      <w:pPr>
        <w:pStyle w:val="0"/>
        <w:spacing w:before="200" w:line-rule="auto"/>
        <w:ind w:firstLine="540"/>
        <w:jc w:val="both"/>
      </w:pPr>
      <w:r>
        <w:rPr>
          <w:sz w:val="20"/>
        </w:rPr>
        <w:t xml:space="preserve">соблюдение стандарта предоставления государственной услуги;</w:t>
      </w:r>
    </w:p>
    <w:p>
      <w:pPr>
        <w:pStyle w:val="0"/>
        <w:spacing w:before="200" w:line-rule="auto"/>
        <w:ind w:firstLine="540"/>
        <w:jc w:val="both"/>
      </w:pPr>
      <w:r>
        <w:rPr>
          <w:sz w:val="20"/>
        </w:rPr>
        <w:t xml:space="preserve">отсутствие жалоб заявителей на действия (бездействие) должностных лиц МЧС России при предоставлении государственной услуги;</w:t>
      </w:r>
    </w:p>
    <w:p>
      <w:pPr>
        <w:pStyle w:val="0"/>
        <w:spacing w:before="200" w:line-rule="auto"/>
        <w:ind w:firstLine="540"/>
        <w:jc w:val="both"/>
      </w:pPr>
      <w:r>
        <w:rPr>
          <w:sz w:val="20"/>
        </w:rPr>
        <w:t xml:space="preserve">соблюдение срока вынесения решения в отношении рассматриваемого запроса о предоставлении государственной услуги;</w:t>
      </w:r>
    </w:p>
    <w:p>
      <w:pPr>
        <w:pStyle w:val="0"/>
        <w:spacing w:before="200" w:line-rule="auto"/>
        <w:ind w:firstLine="540"/>
        <w:jc w:val="both"/>
      </w:pPr>
      <w:r>
        <w:rPr>
          <w:sz w:val="20"/>
        </w:rPr>
        <w:t xml:space="preserve">полнота и актуальность информации о порядке предоставления государственной услуги;</w:t>
      </w:r>
    </w:p>
    <w:p>
      <w:pPr>
        <w:pStyle w:val="0"/>
        <w:spacing w:before="200" w:line-rule="auto"/>
        <w:ind w:firstLine="540"/>
        <w:jc w:val="both"/>
      </w:pPr>
      <w:r>
        <w:rPr>
          <w:sz w:val="20"/>
        </w:rPr>
        <w:t xml:space="preserve">возможность подачи заявления о предоставлении государственной услуги и других документов, необходимых для предоставления государственной услуги, в форме электронного документа;</w:t>
      </w:r>
    </w:p>
    <w:p>
      <w:pPr>
        <w:pStyle w:val="0"/>
        <w:spacing w:before="200" w:line-rule="auto"/>
        <w:ind w:firstLine="540"/>
        <w:jc w:val="both"/>
      </w:pPr>
      <w:r>
        <w:rPr>
          <w:sz w:val="20"/>
        </w:rPr>
        <w:t xml:space="preserve">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32. В процессе предоставления государственной услуги заявитель взаимодействует с должностными лицами МЧС России при подаче заявления, а также при получении результата предоставления государственной услуги.</w:t>
      </w:r>
    </w:p>
    <w:p>
      <w:pPr>
        <w:pStyle w:val="0"/>
        <w:spacing w:before="200" w:line-rule="auto"/>
        <w:ind w:firstLine="540"/>
        <w:jc w:val="both"/>
      </w:pPr>
      <w:r>
        <w:rPr>
          <w:sz w:val="20"/>
        </w:rPr>
        <w:t xml:space="preserve">Заявителям обеспечивается возможность получения информации о порядке предоставления государственной услуги на официальном сайте МЧС России, официальных сайтах территориальных органов МЧС России и на Едином портале государственных услуг, а также копирования формы заявления и иных документов, необходимых для предоставления государственной услуги.</w:t>
      </w:r>
    </w:p>
    <w:p>
      <w:pPr>
        <w:pStyle w:val="0"/>
        <w:spacing w:before="200" w:line-rule="auto"/>
        <w:ind w:firstLine="540"/>
        <w:jc w:val="both"/>
      </w:pPr>
      <w:r>
        <w:rPr>
          <w:sz w:val="20"/>
        </w:rPr>
        <w:t xml:space="preserve">Продолжительность одного взаимодействия заявителя с должностным лицом при предоставлении государственной услуги не превышает пятнадцати минут.</w:t>
      </w:r>
    </w:p>
    <w:p>
      <w:pPr>
        <w:pStyle w:val="0"/>
        <w:spacing w:before="200" w:line-rule="auto"/>
        <w:ind w:firstLine="540"/>
        <w:jc w:val="both"/>
      </w:pPr>
      <w:r>
        <w:rPr>
          <w:sz w:val="20"/>
        </w:rPr>
        <w:t xml:space="preserve">В многофункциональных центрах предоставления государственных и муниципальных услуг предоставление государственной услуги не осуществляется.</w:t>
      </w:r>
    </w:p>
    <w:p>
      <w:pPr>
        <w:pStyle w:val="0"/>
        <w:spacing w:before="200" w:line-rule="auto"/>
        <w:ind w:firstLine="540"/>
        <w:jc w:val="both"/>
      </w:pPr>
      <w:r>
        <w:rPr>
          <w:sz w:val="20"/>
        </w:rPr>
        <w:t xml:space="preserve">Предоставление государственной услуги в любом территориальном подразделении, предоставляющем государственную услугу, по выбору заявителя (экстерриториальный принцип) не осуществляется.</w:t>
      </w:r>
    </w:p>
    <w:p>
      <w:pPr>
        <w:pStyle w:val="0"/>
        <w:jc w:val="both"/>
      </w:pPr>
      <w:r>
        <w:rPr>
          <w:sz w:val="20"/>
        </w:rPr>
      </w:r>
    </w:p>
    <w:p>
      <w:pPr>
        <w:pStyle w:val="2"/>
        <w:outlineLvl w:val="2"/>
        <w:jc w:val="center"/>
      </w:pPr>
      <w:r>
        <w:rPr>
          <w:sz w:val="20"/>
        </w:rPr>
        <w:t xml:space="preserve">Иные требования, в том числе учитывающие</w:t>
      </w:r>
    </w:p>
    <w:p>
      <w:pPr>
        <w:pStyle w:val="2"/>
        <w:jc w:val="center"/>
      </w:pPr>
      <w:r>
        <w:rPr>
          <w:sz w:val="20"/>
        </w:rPr>
        <w:t xml:space="preserve">особенности предоставления государственной услуги</w:t>
      </w:r>
    </w:p>
    <w:p>
      <w:pPr>
        <w:pStyle w:val="2"/>
        <w:jc w:val="center"/>
      </w:pPr>
      <w:r>
        <w:rPr>
          <w:sz w:val="20"/>
        </w:rPr>
        <w:t xml:space="preserve">по экстерриториальному принципу и особенности</w:t>
      </w:r>
    </w:p>
    <w:p>
      <w:pPr>
        <w:pStyle w:val="2"/>
        <w:jc w:val="center"/>
      </w:pPr>
      <w:r>
        <w:rPr>
          <w:sz w:val="20"/>
        </w:rPr>
        <w:t xml:space="preserve">предоставления государственной услуги</w:t>
      </w:r>
    </w:p>
    <w:p>
      <w:pPr>
        <w:pStyle w:val="2"/>
        <w:jc w:val="center"/>
      </w:pPr>
      <w:r>
        <w:rPr>
          <w:sz w:val="20"/>
        </w:rPr>
        <w:t xml:space="preserve">в электронной форме</w:t>
      </w:r>
    </w:p>
    <w:p>
      <w:pPr>
        <w:pStyle w:val="0"/>
        <w:jc w:val="both"/>
      </w:pPr>
      <w:r>
        <w:rPr>
          <w:sz w:val="20"/>
        </w:rPr>
      </w:r>
    </w:p>
    <w:p>
      <w:pPr>
        <w:pStyle w:val="0"/>
        <w:ind w:firstLine="540"/>
        <w:jc w:val="both"/>
      </w:pPr>
      <w:r>
        <w:rPr>
          <w:sz w:val="20"/>
        </w:rPr>
        <w:t xml:space="preserve">33. Для подачи заявления в форме электронного документа заявителем используются усиленная квалифицированная электронная подпись или простая электронная подпись в соответствии с </w:t>
      </w:r>
      <w:hyperlink w:history="0" w:anchor="P123" w:tooltip="16. На Едином портале государственных услуг заявителю предоставляется возможность заполнения заявления в электронной форме, которое подписывается усиленной квалифицированной электронной подписью или простой электронной подписью.">
        <w:r>
          <w:rPr>
            <w:sz w:val="20"/>
            <w:color w:val="0000ff"/>
          </w:rPr>
          <w:t xml:space="preserve">пунктом 16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Иные требования и особенности предоставления государственной услуги в электронной форме отсутствуют.</w:t>
      </w:r>
    </w:p>
    <w:p>
      <w:pPr>
        <w:pStyle w:val="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0"/>
        <w:jc w:val="both"/>
      </w:pPr>
      <w:r>
        <w:rPr>
          <w:sz w:val="20"/>
        </w:rPr>
      </w:r>
    </w:p>
    <w:p>
      <w:pPr>
        <w:pStyle w:val="0"/>
        <w:ind w:firstLine="540"/>
        <w:jc w:val="both"/>
      </w:pPr>
      <w:r>
        <w:rPr>
          <w:sz w:val="20"/>
        </w:rPr>
        <w:t xml:space="preserve">34. 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регистрацию заявления и </w:t>
      </w:r>
      <w:hyperlink w:history="0" w:anchor="P530" w:tooltip="ДЕКЛАРАЦИЯ">
        <w:r>
          <w:rPr>
            <w:sz w:val="20"/>
            <w:color w:val="0000ff"/>
          </w:rPr>
          <w:t xml:space="preserve">декларации</w:t>
        </w:r>
      </w:hyperlink>
      <w:r>
        <w:rPr>
          <w:sz w:val="20"/>
        </w:rPr>
        <w:t xml:space="preserve"> подразделениями МЧС России, предоставляющими государственную услугу;</w:t>
      </w:r>
    </w:p>
    <w:p>
      <w:pPr>
        <w:pStyle w:val="0"/>
        <w:spacing w:before="200" w:line-rule="auto"/>
        <w:ind w:firstLine="540"/>
        <w:jc w:val="both"/>
      </w:pPr>
      <w:r>
        <w:rPr>
          <w:sz w:val="20"/>
        </w:rPr>
        <w:t xml:space="preserve">учет деклараций подразделениями МЧС России, предоставляющими государственную услугу;</w:t>
      </w:r>
    </w:p>
    <w:p>
      <w:pPr>
        <w:pStyle w:val="0"/>
        <w:spacing w:before="200" w:line-rule="auto"/>
        <w:ind w:firstLine="540"/>
        <w:jc w:val="both"/>
      </w:pPr>
      <w:r>
        <w:rPr>
          <w:sz w:val="20"/>
        </w:rPr>
        <w:t xml:space="preserve">исправление допущенных опечаток и ошибок в выданных в результате предоставления государственной услуги документах.</w:t>
      </w:r>
    </w:p>
    <w:p>
      <w:pPr>
        <w:pStyle w:val="0"/>
        <w:jc w:val="both"/>
      </w:pPr>
      <w:r>
        <w:rPr>
          <w:sz w:val="20"/>
        </w:rPr>
      </w:r>
    </w:p>
    <w:p>
      <w:pPr>
        <w:pStyle w:val="2"/>
        <w:outlineLvl w:val="2"/>
        <w:jc w:val="center"/>
      </w:pPr>
      <w:r>
        <w:rPr>
          <w:sz w:val="20"/>
        </w:rPr>
        <w:t xml:space="preserve">Регистрация заявления и декларации подразделениями МЧС</w:t>
      </w:r>
    </w:p>
    <w:p>
      <w:pPr>
        <w:pStyle w:val="2"/>
        <w:jc w:val="center"/>
      </w:pPr>
      <w:r>
        <w:rPr>
          <w:sz w:val="20"/>
        </w:rPr>
        <w:t xml:space="preserve">России, предоставляющими государственную услугу</w:t>
      </w:r>
    </w:p>
    <w:p>
      <w:pPr>
        <w:pStyle w:val="0"/>
        <w:jc w:val="both"/>
      </w:pPr>
      <w:r>
        <w:rPr>
          <w:sz w:val="20"/>
        </w:rPr>
      </w:r>
    </w:p>
    <w:p>
      <w:pPr>
        <w:pStyle w:val="0"/>
        <w:ind w:firstLine="540"/>
        <w:jc w:val="both"/>
      </w:pPr>
      <w:r>
        <w:rPr>
          <w:sz w:val="20"/>
        </w:rPr>
        <w:t xml:space="preserve">35. Основанием для начала административной процедуры является поступление в подразделения МЧС России, предоставляющие государственную услугу, заявления и </w:t>
      </w:r>
      <w:hyperlink w:history="0" w:anchor="P530" w:tooltip="ДЕКЛАРАЦИЯ">
        <w:r>
          <w:rPr>
            <w:sz w:val="20"/>
            <w:color w:val="0000ff"/>
          </w:rPr>
          <w:t xml:space="preserve">декларации</w:t>
        </w:r>
      </w:hyperlink>
      <w:r>
        <w:rPr>
          <w:sz w:val="20"/>
        </w:rPr>
        <w:t xml:space="preserve"> (уточненной декларации) в двух экземплярах.</w:t>
      </w:r>
    </w:p>
    <w:p>
      <w:pPr>
        <w:pStyle w:val="0"/>
        <w:spacing w:before="200" w:line-rule="auto"/>
        <w:ind w:firstLine="540"/>
        <w:jc w:val="both"/>
      </w:pPr>
      <w:r>
        <w:rPr>
          <w:sz w:val="20"/>
        </w:rPr>
        <w:t xml:space="preserve">36. </w:t>
      </w:r>
      <w:hyperlink w:history="0" w:anchor="P530" w:tooltip="ДЕКЛАРАЦИЯ">
        <w:r>
          <w:rPr>
            <w:sz w:val="20"/>
            <w:color w:val="0000ff"/>
          </w:rPr>
          <w:t xml:space="preserve">Декларация</w:t>
        </w:r>
      </w:hyperlink>
      <w:r>
        <w:rPr>
          <w:sz w:val="20"/>
        </w:rPr>
        <w:t xml:space="preserve"> представляется:</w:t>
      </w:r>
    </w:p>
    <w:p>
      <w:pPr>
        <w:pStyle w:val="0"/>
        <w:spacing w:before="200" w:line-rule="auto"/>
        <w:ind w:firstLine="540"/>
        <w:jc w:val="both"/>
      </w:pPr>
      <w:r>
        <w:rPr>
          <w:sz w:val="20"/>
        </w:rPr>
        <w:t xml:space="preserve">при расположении объекта защиты, принадлежащего одному собственнику, на территории двух и более федеральных округов, а также двух и более субъектов Российской Федерации, находящихся в пределах одного федерального округа, за исключением объектов защиты, принадлежащих организациям, государственный пожарный надзор в которых осуществляют структурные подразделения специальных и воинских подразделений федеральной противопожарной службы, созданных в целях организации профилактики и тушения пожаров в закрытых административно-территориальных образованиях, особо важных и режимных организациях, в сферу ведения которых входят вопросы организации и осуществления государственного пожарного надзора, - в структурное подразделение центрального аппарата МЧС России, в сферу ведения которого входят вопросы организации и осуществления государственного пожарного надзора;</w:t>
      </w:r>
    </w:p>
    <w:p>
      <w:pPr>
        <w:pStyle w:val="0"/>
        <w:spacing w:before="200" w:line-rule="auto"/>
        <w:ind w:firstLine="540"/>
        <w:jc w:val="both"/>
      </w:pPr>
      <w:r>
        <w:rPr>
          <w:sz w:val="20"/>
        </w:rPr>
        <w:t xml:space="preserve">при расположении объекта защиты на территории муниципального образования - в территориальный отдел (отделение, инспекцию) соответствующего территориального органа МЧС России - 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 в сферу ведения которого входят вопросы организации и осуществления государственного пожарного надзора;</w:t>
      </w:r>
    </w:p>
    <w:p>
      <w:pPr>
        <w:pStyle w:val="0"/>
        <w:spacing w:before="200" w:line-rule="auto"/>
        <w:ind w:firstLine="540"/>
        <w:jc w:val="both"/>
      </w:pPr>
      <w:r>
        <w:rPr>
          <w:sz w:val="20"/>
        </w:rPr>
        <w:t xml:space="preserve">при расположении объектов защиты в пределах территорий закрытых административно-территориальных образований, особо важных и режимных организаций - в соответствующий орган государственного пожарного надзора специального и воинского подразделения федеральной противопожарной службы;</w:t>
      </w:r>
    </w:p>
    <w:p>
      <w:pPr>
        <w:pStyle w:val="0"/>
        <w:spacing w:before="200" w:line-rule="auto"/>
        <w:ind w:firstLine="540"/>
        <w:jc w:val="both"/>
      </w:pPr>
      <w:hyperlink w:history="0" w:anchor="P530" w:tooltip="ДЕКЛАРАЦИЯ">
        <w:r>
          <w:rPr>
            <w:sz w:val="20"/>
            <w:color w:val="0000ff"/>
          </w:rPr>
          <w:t xml:space="preserve">декларация</w:t>
        </w:r>
      </w:hyperlink>
      <w:r>
        <w:rPr>
          <w:sz w:val="20"/>
        </w:rPr>
        <w:t xml:space="preserve"> может составляться как в целом на объект защиты, так и на отдельные входящие в его состав здания, сооружения, строения, к которым установлены требования пожарной безопасности.</w:t>
      </w:r>
    </w:p>
    <w:p>
      <w:pPr>
        <w:pStyle w:val="0"/>
        <w:spacing w:before="200" w:line-rule="auto"/>
        <w:ind w:firstLine="540"/>
        <w:jc w:val="both"/>
      </w:pPr>
      <w:r>
        <w:rPr>
          <w:sz w:val="20"/>
        </w:rPr>
        <w:t xml:space="preserve">37. Уточненная </w:t>
      </w:r>
      <w:hyperlink w:history="0" w:anchor="P530" w:tooltip="ДЕКЛАРАЦИЯ">
        <w:r>
          <w:rPr>
            <w:sz w:val="20"/>
            <w:color w:val="0000ff"/>
          </w:rPr>
          <w:t xml:space="preserve">декларация</w:t>
        </w:r>
      </w:hyperlink>
      <w:r>
        <w:rPr>
          <w:sz w:val="20"/>
        </w:rPr>
        <w:t xml:space="preserve"> представляется с приложением копий документов, подтверждающих наличие соответствующих изменений.</w:t>
      </w:r>
    </w:p>
    <w:bookmarkStart w:id="287" w:name="P287"/>
    <w:bookmarkEnd w:id="287"/>
    <w:p>
      <w:pPr>
        <w:pStyle w:val="0"/>
        <w:spacing w:before="200" w:line-rule="auto"/>
        <w:ind w:firstLine="540"/>
        <w:jc w:val="both"/>
      </w:pPr>
      <w:r>
        <w:rPr>
          <w:sz w:val="20"/>
        </w:rPr>
        <w:t xml:space="preserve">38. Уточненная </w:t>
      </w:r>
      <w:hyperlink w:history="0" w:anchor="P530" w:tooltip="ДЕКЛАРАЦИЯ">
        <w:r>
          <w:rPr>
            <w:sz w:val="20"/>
            <w:color w:val="0000ff"/>
          </w:rPr>
          <w:t xml:space="preserve">декларация</w:t>
        </w:r>
      </w:hyperlink>
      <w:r>
        <w:rPr>
          <w:sz w:val="20"/>
        </w:rPr>
        <w:t xml:space="preserve"> представляется в течение одного года со дня изменения содержащихся в ней сведений.</w:t>
      </w:r>
    </w:p>
    <w:p>
      <w:pPr>
        <w:pStyle w:val="0"/>
        <w:spacing w:before="200" w:line-rule="auto"/>
        <w:ind w:firstLine="540"/>
        <w:jc w:val="both"/>
      </w:pPr>
      <w:r>
        <w:rPr>
          <w:sz w:val="20"/>
        </w:rPr>
        <w:t xml:space="preserve">39. В случае представления </w:t>
      </w:r>
      <w:hyperlink w:history="0" w:anchor="P530" w:tooltip="ДЕКЛАРАЦИЯ">
        <w:r>
          <w:rPr>
            <w:sz w:val="20"/>
            <w:color w:val="0000ff"/>
          </w:rPr>
          <w:t xml:space="preserve">декларации</w:t>
        </w:r>
      </w:hyperlink>
      <w:r>
        <w:rPr>
          <w:sz w:val="20"/>
        </w:rPr>
        <w:t xml:space="preserve"> в подразделение МЧС России, предоставляющее государственную услугу, непосредственно днем подачи считается день регистрации заявления.</w:t>
      </w:r>
    </w:p>
    <w:p>
      <w:pPr>
        <w:pStyle w:val="0"/>
        <w:spacing w:before="200" w:line-rule="auto"/>
        <w:ind w:firstLine="540"/>
        <w:jc w:val="both"/>
      </w:pPr>
      <w:r>
        <w:rPr>
          <w:sz w:val="20"/>
        </w:rPr>
        <w:t xml:space="preserve">При направлении </w:t>
      </w:r>
      <w:hyperlink w:history="0" w:anchor="P530" w:tooltip="ДЕКЛАРАЦИЯ">
        <w:r>
          <w:rPr>
            <w:sz w:val="20"/>
            <w:color w:val="0000ff"/>
          </w:rPr>
          <w:t xml:space="preserve">декларации</w:t>
        </w:r>
      </w:hyperlink>
      <w:r>
        <w:rPr>
          <w:sz w:val="20"/>
        </w:rPr>
        <w:t xml:space="preserve"> по почте днем подачи считается день получения почтового отправления.</w:t>
      </w:r>
    </w:p>
    <w:p>
      <w:pPr>
        <w:pStyle w:val="0"/>
        <w:spacing w:before="200" w:line-rule="auto"/>
        <w:ind w:firstLine="540"/>
        <w:jc w:val="both"/>
      </w:pPr>
      <w:r>
        <w:rPr>
          <w:sz w:val="20"/>
        </w:rPr>
        <w:t xml:space="preserve">При направлении </w:t>
      </w:r>
      <w:hyperlink w:history="0" w:anchor="P530" w:tooltip="ДЕКЛАРАЦИЯ">
        <w:r>
          <w:rPr>
            <w:sz w:val="20"/>
            <w:color w:val="0000ff"/>
          </w:rPr>
          <w:t xml:space="preserve">декларации</w:t>
        </w:r>
      </w:hyperlink>
      <w:r>
        <w:rPr>
          <w:sz w:val="20"/>
        </w:rPr>
        <w:t xml:space="preserve"> в виде электронного документа через Единый портал государственных услуг она регистрируется в день подачи.</w:t>
      </w:r>
    </w:p>
    <w:p>
      <w:pPr>
        <w:pStyle w:val="0"/>
        <w:spacing w:before="200" w:line-rule="auto"/>
        <w:ind w:firstLine="540"/>
        <w:jc w:val="both"/>
      </w:pPr>
      <w:r>
        <w:rPr>
          <w:sz w:val="20"/>
        </w:rPr>
        <w:t xml:space="preserve">40. Должностное лицо подразделения МЧС России, предоставляющего государственную услугу, в течение пяти рабочих дней со дня регистрации заявления проверяет содержащиеся в ней сведения на соответствие требованиям, установленным настоящим Административным регламентом, и вносит сведения в журнал учета деклараций в случае принятия решения о регистрации декларации.</w:t>
      </w:r>
    </w:p>
    <w:p>
      <w:pPr>
        <w:pStyle w:val="0"/>
        <w:spacing w:before="200" w:line-rule="auto"/>
        <w:ind w:firstLine="540"/>
        <w:jc w:val="both"/>
      </w:pPr>
      <w:r>
        <w:rPr>
          <w:sz w:val="20"/>
        </w:rPr>
        <w:t xml:space="preserve">Один экземпляр </w:t>
      </w:r>
      <w:hyperlink w:history="0" w:anchor="P530" w:tooltip="ДЕКЛАРАЦИЯ">
        <w:r>
          <w:rPr>
            <w:sz w:val="20"/>
            <w:color w:val="0000ff"/>
          </w:rPr>
          <w:t xml:space="preserve">декларации</w:t>
        </w:r>
      </w:hyperlink>
      <w:r>
        <w:rPr>
          <w:sz w:val="20"/>
        </w:rPr>
        <w:t xml:space="preserve"> остается в подразделении МЧС России, предоставляющем государственную услугу, а второй экземпляр зарегистрированной </w:t>
      </w:r>
      <w:hyperlink w:history="0" w:anchor="P530" w:tooltip="ДЕКЛАРАЦИЯ">
        <w:r>
          <w:rPr>
            <w:sz w:val="20"/>
            <w:color w:val="0000ff"/>
          </w:rPr>
          <w:t xml:space="preserve">декларации</w:t>
        </w:r>
      </w:hyperlink>
      <w:r>
        <w:rPr>
          <w:sz w:val="20"/>
        </w:rPr>
        <w:t xml:space="preserve"> вручается лично заявителю, либо направляется заказным почтовым отправлением с уведомлением о вручении, в том числе либо с использованием информационно-телекоммуникационной сети "Интернет" (при наличии адреса электронной почты заявителя) в течение трех рабочих дней, со дня внесения сведений в журнал учета деклараций и присвоения регистрационного номера.</w:t>
      </w:r>
    </w:p>
    <w:p>
      <w:pPr>
        <w:pStyle w:val="0"/>
        <w:spacing w:before="200" w:line-rule="auto"/>
        <w:ind w:firstLine="540"/>
        <w:jc w:val="both"/>
      </w:pPr>
      <w:r>
        <w:rPr>
          <w:sz w:val="20"/>
        </w:rPr>
        <w:t xml:space="preserve">Регистрация и хранение деклараций, содержащих сведения, составляющие государственную тайну, осуществляется должностными лицами подразделений МЧС России, предоставляющих государственную услугу, ответственными за ведение секретного делопроизводства, в соответствии с требованиями Федерального </w:t>
      </w:r>
      <w:hyperlink w:history="0" r:id="rId17" w:tooltip="Закон РФ от 21.07.1993 N 5485-1 (ред. от 04.08.2022) &quot;О государственной тайне&quot; {КонсультантПлюс}">
        <w:r>
          <w:rPr>
            <w:sz w:val="20"/>
            <w:color w:val="0000ff"/>
          </w:rPr>
          <w:t xml:space="preserve">закона</w:t>
        </w:r>
      </w:hyperlink>
      <w:r>
        <w:rPr>
          <w:sz w:val="20"/>
        </w:rPr>
        <w:t xml:space="preserve"> от 21 июля 1993 г. N 5485-1 "О государственной тайне"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Собрание законодательства Российской Федерации, 1997, N 41, стр. 8220 - 8235; 2018, N 31, ст. 4845.</w:t>
      </w:r>
    </w:p>
    <w:p>
      <w:pPr>
        <w:pStyle w:val="0"/>
        <w:jc w:val="both"/>
      </w:pPr>
      <w:r>
        <w:rPr>
          <w:sz w:val="20"/>
        </w:rPr>
      </w:r>
    </w:p>
    <w:bookmarkStart w:id="297" w:name="P297"/>
    <w:bookmarkEnd w:id="297"/>
    <w:p>
      <w:pPr>
        <w:pStyle w:val="0"/>
        <w:ind w:firstLine="540"/>
        <w:jc w:val="both"/>
      </w:pPr>
      <w:r>
        <w:rPr>
          <w:sz w:val="20"/>
        </w:rPr>
        <w:t xml:space="preserve">41. В течение трех рабочих дней, следующих за днем принятия решения об отказе в регистрации </w:t>
      </w:r>
      <w:hyperlink w:history="0" w:anchor="P530" w:tooltip="ДЕКЛАРАЦИЯ">
        <w:r>
          <w:rPr>
            <w:sz w:val="20"/>
            <w:color w:val="0000ff"/>
          </w:rPr>
          <w:t xml:space="preserve">декларации</w:t>
        </w:r>
      </w:hyperlink>
      <w:r>
        <w:rPr>
          <w:sz w:val="20"/>
        </w:rPr>
        <w:t xml:space="preserve">, при наличии оснований, предусмотренных </w:t>
      </w:r>
      <w:hyperlink w:history="0" w:anchor="P154" w:tooltip="21. Основанием для отказа в предоставлении государственной услуги является:">
        <w:r>
          <w:rPr>
            <w:sz w:val="20"/>
            <w:color w:val="0000ff"/>
          </w:rPr>
          <w:t xml:space="preserve">пунктом 21</w:t>
        </w:r>
      </w:hyperlink>
      <w:r>
        <w:rPr>
          <w:sz w:val="20"/>
        </w:rPr>
        <w:t xml:space="preserve"> настоящего Административного регламента, должностное лицо подразделения МЧС России, предоставляющего государственную услугу, вручает лично или направляет заказным почтовым отправлением с уведомлением о вручении заявителю по почтовому адресу, указанному в заявлении, уведомление об отказе в регистрации </w:t>
      </w:r>
      <w:hyperlink w:history="0" w:anchor="P530" w:tooltip="ДЕКЛАРАЦИЯ">
        <w:r>
          <w:rPr>
            <w:sz w:val="20"/>
            <w:color w:val="0000ff"/>
          </w:rPr>
          <w:t xml:space="preserve">декларации</w:t>
        </w:r>
      </w:hyperlink>
      <w:r>
        <w:rPr>
          <w:sz w:val="20"/>
        </w:rPr>
        <w:t xml:space="preserve"> в том числе с использованием информационно-телекоммуникационной сети "Интернет" (при наличии адреса электронной почты заявителя).</w:t>
      </w:r>
    </w:p>
    <w:p>
      <w:pPr>
        <w:pStyle w:val="0"/>
        <w:spacing w:before="200" w:line-rule="auto"/>
        <w:ind w:firstLine="540"/>
        <w:jc w:val="both"/>
      </w:pPr>
      <w:r>
        <w:rPr>
          <w:sz w:val="20"/>
        </w:rPr>
        <w:t xml:space="preserve">Административная процедура завершается регистрацией </w:t>
      </w:r>
      <w:hyperlink w:history="0" w:anchor="P530" w:tooltip="ДЕКЛАРАЦИЯ">
        <w:r>
          <w:rPr>
            <w:sz w:val="20"/>
            <w:color w:val="0000ff"/>
          </w:rPr>
          <w:t xml:space="preserve">декларации</w:t>
        </w:r>
      </w:hyperlink>
      <w:r>
        <w:rPr>
          <w:sz w:val="20"/>
        </w:rPr>
        <w:t xml:space="preserve"> или уведомления об отказе в регистрации </w:t>
      </w:r>
      <w:hyperlink w:history="0" w:anchor="P530" w:tooltip="ДЕКЛАРАЦИЯ">
        <w:r>
          <w:rPr>
            <w:sz w:val="20"/>
            <w:color w:val="0000ff"/>
          </w:rPr>
          <w:t xml:space="preserve">декларации</w:t>
        </w:r>
      </w:hyperlink>
      <w:r>
        <w:rPr>
          <w:sz w:val="20"/>
        </w:rPr>
        <w:t xml:space="preserve">.</w:t>
      </w:r>
    </w:p>
    <w:p>
      <w:pPr>
        <w:pStyle w:val="0"/>
        <w:spacing w:before="200" w:line-rule="auto"/>
        <w:ind w:firstLine="540"/>
        <w:jc w:val="both"/>
      </w:pPr>
      <w:r>
        <w:rPr>
          <w:sz w:val="20"/>
        </w:rPr>
        <w:t xml:space="preserve">42. Результатом административной процедуры является вручение лично или направление заказным почтовым отправлением с уведомлением о вручении должностным лицом подразделения МЧС России, предоставляющего государственную услугу, заявителю зарегистрированной </w:t>
      </w:r>
      <w:hyperlink w:history="0" w:anchor="P530" w:tooltip="ДЕКЛАРАЦИЯ">
        <w:r>
          <w:rPr>
            <w:sz w:val="20"/>
            <w:color w:val="0000ff"/>
          </w:rPr>
          <w:t xml:space="preserve">декларации</w:t>
        </w:r>
      </w:hyperlink>
      <w:r>
        <w:rPr>
          <w:sz w:val="20"/>
        </w:rPr>
        <w:t xml:space="preserve"> или уведомления об отказе в регистрации </w:t>
      </w:r>
      <w:hyperlink w:history="0" w:anchor="P530" w:tooltip="ДЕКЛАРАЦИЯ">
        <w:r>
          <w:rPr>
            <w:sz w:val="20"/>
            <w:color w:val="0000ff"/>
          </w:rPr>
          <w:t xml:space="preserve">декларации</w:t>
        </w:r>
      </w:hyperlink>
      <w:r>
        <w:rPr>
          <w:sz w:val="20"/>
        </w:rPr>
        <w:t xml:space="preserve">.</w:t>
      </w:r>
    </w:p>
    <w:p>
      <w:pPr>
        <w:pStyle w:val="0"/>
        <w:jc w:val="both"/>
      </w:pPr>
      <w:r>
        <w:rPr>
          <w:sz w:val="20"/>
        </w:rPr>
      </w:r>
    </w:p>
    <w:p>
      <w:pPr>
        <w:pStyle w:val="2"/>
        <w:outlineLvl w:val="2"/>
        <w:jc w:val="center"/>
      </w:pPr>
      <w:r>
        <w:rPr>
          <w:sz w:val="20"/>
        </w:rPr>
        <w:t xml:space="preserve">Учет деклараций подразделениями МЧС России,</w:t>
      </w:r>
    </w:p>
    <w:p>
      <w:pPr>
        <w:pStyle w:val="2"/>
        <w:jc w:val="center"/>
      </w:pPr>
      <w:r>
        <w:rPr>
          <w:sz w:val="20"/>
        </w:rPr>
        <w:t xml:space="preserve">предоставляющими государственную услугу</w:t>
      </w:r>
    </w:p>
    <w:p>
      <w:pPr>
        <w:pStyle w:val="0"/>
        <w:jc w:val="both"/>
      </w:pPr>
      <w:r>
        <w:rPr>
          <w:sz w:val="20"/>
        </w:rPr>
      </w:r>
    </w:p>
    <w:p>
      <w:pPr>
        <w:pStyle w:val="0"/>
        <w:ind w:firstLine="540"/>
        <w:jc w:val="both"/>
      </w:pPr>
      <w:r>
        <w:rPr>
          <w:sz w:val="20"/>
        </w:rPr>
        <w:t xml:space="preserve">43. Основанием для начала административной процедуры является регистрация </w:t>
      </w:r>
      <w:hyperlink w:history="0" w:anchor="P530" w:tooltip="ДЕКЛАРАЦИЯ">
        <w:r>
          <w:rPr>
            <w:sz w:val="20"/>
            <w:color w:val="0000ff"/>
          </w:rPr>
          <w:t xml:space="preserve">декларации</w:t>
        </w:r>
      </w:hyperlink>
      <w:r>
        <w:rPr>
          <w:sz w:val="20"/>
        </w:rPr>
        <w:t xml:space="preserve"> с присвоением ей регистрационного номера.</w:t>
      </w:r>
    </w:p>
    <w:p>
      <w:pPr>
        <w:pStyle w:val="0"/>
        <w:spacing w:before="200" w:line-rule="auto"/>
        <w:ind w:firstLine="540"/>
        <w:jc w:val="both"/>
      </w:pPr>
      <w:r>
        <w:rPr>
          <w:sz w:val="20"/>
        </w:rPr>
        <w:t xml:space="preserve">44. Должностное лицо подразделения МЧС России, предоставляющего государственную услугу, в срок не позднее одного рабочего дня со дня присвоения </w:t>
      </w:r>
      <w:hyperlink w:history="0" w:anchor="P530" w:tooltip="ДЕКЛАРАЦИЯ">
        <w:r>
          <w:rPr>
            <w:sz w:val="20"/>
            <w:color w:val="0000ff"/>
          </w:rPr>
          <w:t xml:space="preserve">декларации</w:t>
        </w:r>
      </w:hyperlink>
      <w:r>
        <w:rPr>
          <w:sz w:val="20"/>
        </w:rPr>
        <w:t xml:space="preserve"> регистрационного номера вносит в перечень следующие сведения:</w:t>
      </w:r>
    </w:p>
    <w:p>
      <w:pPr>
        <w:pStyle w:val="0"/>
        <w:spacing w:before="200" w:line-rule="auto"/>
        <w:ind w:firstLine="540"/>
        <w:jc w:val="both"/>
      </w:pPr>
      <w:r>
        <w:rPr>
          <w:sz w:val="20"/>
        </w:rPr>
        <w:t xml:space="preserve">организационно-правовая форма юридического лица, его наименование, фамилия, имя, отчество (при наличии) индивидуального предпринимателя или физического лица, являющихся собственниками объекта защиты или лицами, владеющими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w:t>
      </w:r>
    </w:p>
    <w:p>
      <w:pPr>
        <w:pStyle w:val="0"/>
        <w:spacing w:before="200" w:line-rule="auto"/>
        <w:ind w:firstLine="540"/>
        <w:jc w:val="both"/>
      </w:pPr>
      <w:r>
        <w:rPr>
          <w:sz w:val="20"/>
        </w:rPr>
        <w:t xml:space="preserve">полное и сокращенное (при наличии) наименование объекта защиты;</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основной государственный регистрационный номер записи о государственной регистрации юридического лица; функциональное назначение объекта защиты;</w:t>
      </w:r>
    </w:p>
    <w:p>
      <w:pPr>
        <w:pStyle w:val="0"/>
        <w:spacing w:before="200" w:line-rule="auto"/>
        <w:ind w:firstLine="540"/>
        <w:jc w:val="both"/>
      </w:pPr>
      <w:r>
        <w:rPr>
          <w:sz w:val="20"/>
        </w:rPr>
        <w:t xml:space="preserve">место нахождения объекта защиты (указывается адрес объекта защиты);</w:t>
      </w:r>
    </w:p>
    <w:p>
      <w:pPr>
        <w:pStyle w:val="0"/>
        <w:spacing w:before="200" w:line-rule="auto"/>
        <w:ind w:firstLine="540"/>
        <w:jc w:val="both"/>
      </w:pPr>
      <w:r>
        <w:rPr>
          <w:sz w:val="20"/>
        </w:rPr>
        <w:t xml:space="preserve">дата регистрации и регистрационный номер </w:t>
      </w:r>
      <w:hyperlink w:history="0" w:anchor="P530" w:tooltip="ДЕКЛАРАЦИЯ">
        <w:r>
          <w:rPr>
            <w:sz w:val="20"/>
            <w:color w:val="0000ff"/>
          </w:rPr>
          <w:t xml:space="preserve">декларации</w:t>
        </w:r>
      </w:hyperlink>
      <w:r>
        <w:rPr>
          <w:sz w:val="20"/>
        </w:rPr>
        <w:t xml:space="preserve">;</w:t>
      </w:r>
    </w:p>
    <w:p>
      <w:pPr>
        <w:pStyle w:val="0"/>
        <w:spacing w:before="200" w:line-rule="auto"/>
        <w:ind w:firstLine="540"/>
        <w:jc w:val="both"/>
      </w:pPr>
      <w:r>
        <w:rPr>
          <w:sz w:val="20"/>
        </w:rPr>
        <w:t xml:space="preserve">дата вручения или направления зарегистрированной </w:t>
      </w:r>
      <w:hyperlink w:history="0" w:anchor="P530" w:tooltip="ДЕКЛАРАЦИЯ">
        <w:r>
          <w:rPr>
            <w:sz w:val="20"/>
            <w:color w:val="0000ff"/>
          </w:rPr>
          <w:t xml:space="preserve">декларации</w:t>
        </w:r>
      </w:hyperlink>
      <w:r>
        <w:rPr>
          <w:sz w:val="20"/>
        </w:rPr>
        <w:t xml:space="preserve"> или уведомления об отказе в ее регистрации.</w:t>
      </w:r>
    </w:p>
    <w:p>
      <w:pPr>
        <w:pStyle w:val="0"/>
        <w:spacing w:before="200" w:line-rule="auto"/>
        <w:ind w:firstLine="540"/>
        <w:jc w:val="both"/>
      </w:pPr>
      <w:r>
        <w:rPr>
          <w:sz w:val="20"/>
        </w:rPr>
        <w:t xml:space="preserve">45. В перечень вносятся сведения обо всех зарегистрированных декларациях, за исключением деклараций, содержащих сведения, составляющие государственную тайну в соответствии с требованиями Федерального </w:t>
      </w:r>
      <w:hyperlink w:history="0" r:id="rId18" w:tooltip="Закон РФ от 21.07.1993 N 5485-1 (ред. от 04.08.2022) &quot;О государственной тайне&quot; {КонсультантПлюс}">
        <w:r>
          <w:rPr>
            <w:sz w:val="20"/>
            <w:color w:val="0000ff"/>
          </w:rPr>
          <w:t xml:space="preserve">закона</w:t>
        </w:r>
      </w:hyperlink>
      <w:r>
        <w:rPr>
          <w:sz w:val="20"/>
        </w:rPr>
        <w:t xml:space="preserve"> от 21 июля 1993 г. N 5485-1 "О государственной тайне".</w:t>
      </w:r>
    </w:p>
    <w:p>
      <w:pPr>
        <w:pStyle w:val="0"/>
        <w:spacing w:before="200" w:line-rule="auto"/>
        <w:ind w:firstLine="540"/>
        <w:jc w:val="both"/>
      </w:pPr>
      <w:r>
        <w:rPr>
          <w:sz w:val="20"/>
        </w:rPr>
        <w:t xml:space="preserve">46. Сведения о зарегистрированных декларациях, размещенных на официальном сайте МЧС России, являются открытыми и общедоступными.</w:t>
      </w:r>
    </w:p>
    <w:p>
      <w:pPr>
        <w:pStyle w:val="0"/>
        <w:spacing w:before="200" w:line-rule="auto"/>
        <w:ind w:firstLine="540"/>
        <w:jc w:val="both"/>
      </w:pPr>
      <w:r>
        <w:rPr>
          <w:sz w:val="20"/>
        </w:rPr>
        <w:t xml:space="preserve">47. Результатом административной процедуры является внесение сведений в перечень.</w:t>
      </w:r>
    </w:p>
    <w:p>
      <w:pPr>
        <w:pStyle w:val="0"/>
        <w:jc w:val="both"/>
      </w:pPr>
      <w:r>
        <w:rPr>
          <w:sz w:val="20"/>
        </w:rPr>
      </w:r>
    </w:p>
    <w:p>
      <w:pPr>
        <w:pStyle w:val="2"/>
        <w:outlineLvl w:val="2"/>
        <w:jc w:val="center"/>
      </w:pPr>
      <w:r>
        <w:rPr>
          <w:sz w:val="20"/>
        </w:rPr>
        <w:t xml:space="preserve">Порядок осуществления в электронной форме, в том числе</w:t>
      </w:r>
    </w:p>
    <w:p>
      <w:pPr>
        <w:pStyle w:val="2"/>
        <w:jc w:val="center"/>
      </w:pPr>
      <w:r>
        <w:rPr>
          <w:sz w:val="20"/>
        </w:rPr>
        <w:t xml:space="preserve">с использованием Единого портала государственных услуг,</w:t>
      </w:r>
    </w:p>
    <w:p>
      <w:pPr>
        <w:pStyle w:val="2"/>
        <w:jc w:val="center"/>
      </w:pPr>
      <w:r>
        <w:rPr>
          <w:sz w:val="20"/>
        </w:rPr>
        <w:t xml:space="preserve">административных процедур (действий)</w:t>
      </w:r>
    </w:p>
    <w:p>
      <w:pPr>
        <w:pStyle w:val="0"/>
        <w:jc w:val="both"/>
      </w:pPr>
      <w:r>
        <w:rPr>
          <w:sz w:val="20"/>
        </w:rPr>
      </w:r>
    </w:p>
    <w:p>
      <w:pPr>
        <w:pStyle w:val="0"/>
        <w:ind w:firstLine="540"/>
        <w:jc w:val="both"/>
      </w:pPr>
      <w:r>
        <w:rPr>
          <w:sz w:val="20"/>
        </w:rPr>
        <w:t xml:space="preserve">48. Заявителю обеспечивается возможность направлять заявление через Единый портал государственных услуг.</w:t>
      </w:r>
    </w:p>
    <w:p>
      <w:pPr>
        <w:pStyle w:val="0"/>
        <w:spacing w:before="200" w:line-rule="auto"/>
        <w:ind w:firstLine="540"/>
        <w:jc w:val="both"/>
      </w:pPr>
      <w:r>
        <w:rPr>
          <w:sz w:val="20"/>
        </w:rPr>
        <w:t xml:space="preserve">Оформление документов, являющихся результатом предоставления государственной услуги, осуществляется с учетом требований </w:t>
      </w:r>
      <w:hyperlink w:history="0" w:anchor="P297" w:tooltip="41. В течение трех рабочих дней, следующих за днем принятия решения об отказе в регистрации декларации, при наличии оснований, предусмотренных пунктом 21 настоящего Административного регламента, должностное лицо подразделения МЧС России, предоставляющего государственную услугу, вручает лично или направляет заказным почтовым отправлением с уведомлением о вручении заявителю по почтовому адресу, указанному в заявлении, уведомление об отказе в регистрации декларации в том числе с использованием информационно...">
        <w:r>
          <w:rPr>
            <w:sz w:val="20"/>
            <w:color w:val="0000ff"/>
          </w:rPr>
          <w:t xml:space="preserve">пункта 41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Направление документов, являющихся результатом предоставления государственной услуги в электронной форме, осуществляется в соответствии с </w:t>
      </w:r>
      <w:hyperlink w:history="0" w:anchor="P297" w:tooltip="41. В течение трех рабочих дней, следующих за днем принятия решения об отказе в регистрации декларации, при наличии оснований, предусмотренных пунктом 21 настоящего Административного регламента, должностное лицо подразделения МЧС России, предоставляющего государственную услугу, вручает лично или направляет заказным почтовым отправлением с уведомлением о вручении заявителю по почтовому адресу, указанному в заявлении, уведомление об отказе в регистрации декларации в том числе с использованием информационно...">
        <w:r>
          <w:rPr>
            <w:sz w:val="20"/>
            <w:color w:val="0000ff"/>
          </w:rPr>
          <w:t xml:space="preserve">пунктом 41</w:t>
        </w:r>
      </w:hyperlink>
      <w:r>
        <w:rPr>
          <w:sz w:val="20"/>
        </w:rPr>
        <w:t xml:space="preserve"> Административного регламента.</w:t>
      </w:r>
    </w:p>
    <w:p>
      <w:pPr>
        <w:pStyle w:val="0"/>
        <w:spacing w:before="200" w:line-rule="auto"/>
        <w:ind w:firstLine="540"/>
        <w:jc w:val="both"/>
      </w:pPr>
      <w:r>
        <w:rPr>
          <w:sz w:val="20"/>
        </w:rPr>
        <w:t xml:space="preserve">49. Результат предоставления государственной услуги посредством Единого портала государственных услуг не предоставляется.</w:t>
      </w:r>
    </w:p>
    <w:p>
      <w:pPr>
        <w:pStyle w:val="0"/>
        <w:jc w:val="both"/>
      </w:pPr>
      <w:r>
        <w:rPr>
          <w:sz w:val="20"/>
        </w:rPr>
      </w:r>
    </w:p>
    <w:p>
      <w:pPr>
        <w:pStyle w:val="2"/>
        <w:outlineLvl w:val="2"/>
        <w:jc w:val="center"/>
      </w:pPr>
      <w:r>
        <w:rPr>
          <w:sz w:val="20"/>
        </w:rPr>
        <w:t xml:space="preserve">Исправление допущенных опечаток и ошибок в выданных</w:t>
      </w:r>
    </w:p>
    <w:p>
      <w:pPr>
        <w:pStyle w:val="2"/>
        <w:jc w:val="center"/>
      </w:pPr>
      <w:r>
        <w:rPr>
          <w:sz w:val="20"/>
        </w:rPr>
        <w:t xml:space="preserve">в результате предоставления государственной</w:t>
      </w:r>
    </w:p>
    <w:p>
      <w:pPr>
        <w:pStyle w:val="2"/>
        <w:jc w:val="center"/>
      </w:pPr>
      <w:r>
        <w:rPr>
          <w:sz w:val="20"/>
        </w:rPr>
        <w:t xml:space="preserve">услуги документах</w:t>
      </w:r>
    </w:p>
    <w:p>
      <w:pPr>
        <w:pStyle w:val="0"/>
        <w:jc w:val="both"/>
      </w:pPr>
      <w:r>
        <w:rPr>
          <w:sz w:val="20"/>
        </w:rPr>
      </w:r>
    </w:p>
    <w:p>
      <w:pPr>
        <w:pStyle w:val="0"/>
        <w:ind w:firstLine="540"/>
        <w:jc w:val="both"/>
      </w:pPr>
      <w:r>
        <w:rPr>
          <w:sz w:val="20"/>
        </w:rPr>
        <w:t xml:space="preserve">50. Основанием для начала административной процедуры является направление заявителем в подразделение МЧС России, предоставляющее государственную услугу, заявления об исправлении опечаток и ошибок, допущенных в выданных в результате предоставления государственной услуги документах (далее - выданные документы) либо в перечне по форме, согласно </w:t>
      </w:r>
      <w:hyperlink w:history="0" w:anchor="P484" w:tooltip="Заявление">
        <w:r>
          <w:rPr>
            <w:sz w:val="20"/>
            <w:color w:val="0000ff"/>
          </w:rPr>
          <w:t xml:space="preserve">приложению N 2</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51. Заявление об исправлении опечаток и ошибок, допущенных в выданных документах либо в перечне (далее - заявление об исправлении опечаток и ошибок), заявитель вправе направить посредством Единого портала государственных услуг.</w:t>
      </w:r>
    </w:p>
    <w:p>
      <w:pPr>
        <w:pStyle w:val="0"/>
        <w:spacing w:before="200" w:line-rule="auto"/>
        <w:ind w:firstLine="540"/>
        <w:jc w:val="both"/>
      </w:pPr>
      <w:r>
        <w:rPr>
          <w:sz w:val="20"/>
        </w:rPr>
        <w:t xml:space="preserve">52. Должностное лицо подразделения МЧС России, предоставляющего государственную услугу, рассматривает обращение об исправлении опечаток и ошибок, представленное заявителем, и проводит проверку указанных в нем сведений в срок, не превышающий двух рабочих дней со дня регистрации соответствующего заявления.</w:t>
      </w:r>
    </w:p>
    <w:p>
      <w:pPr>
        <w:pStyle w:val="0"/>
        <w:spacing w:before="200" w:line-rule="auto"/>
        <w:ind w:firstLine="540"/>
        <w:jc w:val="both"/>
      </w:pPr>
      <w:r>
        <w:rPr>
          <w:sz w:val="20"/>
        </w:rPr>
        <w:t xml:space="preserve">53. Критерием принятия решения по административной процедуре является наличие или отсутствие таких опечаток и ошибок в выданных документах либо в перечне.</w:t>
      </w:r>
    </w:p>
    <w:p>
      <w:pPr>
        <w:pStyle w:val="0"/>
        <w:spacing w:before="200" w:line-rule="auto"/>
        <w:ind w:firstLine="540"/>
        <w:jc w:val="both"/>
      </w:pPr>
      <w:r>
        <w:rPr>
          <w:sz w:val="20"/>
        </w:rPr>
        <w:t xml:space="preserve">54. В случае выявления допущенных опечаток и ошибок в выданных документах либо в перечне должностное лицо подразделения МЧС России, предоставляющего государственную услугу, осуществляет исправление в срок, не превышающий пяти рабочих дней со дня регистрации соответствующего заявления.</w:t>
      </w:r>
    </w:p>
    <w:p>
      <w:pPr>
        <w:pStyle w:val="0"/>
        <w:spacing w:before="200" w:line-rule="auto"/>
        <w:ind w:firstLine="540"/>
        <w:jc w:val="both"/>
      </w:pPr>
      <w:r>
        <w:rPr>
          <w:sz w:val="20"/>
        </w:rPr>
        <w:t xml:space="preserve">55. В случае отсутствия опечаток и ошибок в выданных документах либо в перечне должностное лицо подразделения МЧС России, предоставляющего государственную услугу, письменно направляет заявителю об отсутствии таких опечаток и ошибок в срок, не превышающий пяти рабочих дней со дня регистрации соответствующего заявления.</w:t>
      </w:r>
    </w:p>
    <w:p>
      <w:pPr>
        <w:pStyle w:val="0"/>
        <w:spacing w:before="200" w:line-rule="auto"/>
        <w:ind w:firstLine="540"/>
        <w:jc w:val="both"/>
      </w:pPr>
      <w:r>
        <w:rPr>
          <w:sz w:val="20"/>
        </w:rPr>
        <w:t xml:space="preserve">56. Сообщение об отсутствии опечаток и ошибок в выданных документах либо в перечне может быть направлено посредством Единого портала государственных услуг.</w:t>
      </w:r>
    </w:p>
    <w:p>
      <w:pPr>
        <w:pStyle w:val="0"/>
        <w:spacing w:before="200" w:line-rule="auto"/>
        <w:ind w:firstLine="540"/>
        <w:jc w:val="both"/>
      </w:pPr>
      <w:r>
        <w:rPr>
          <w:sz w:val="20"/>
        </w:rPr>
        <w:t xml:space="preserve">57. Результатом административной процедуры является исправление опечаток и ошибок или сообщение заявителю об отсутствии таких опечаток и ошибок в выданных документах либо в перечне.</w:t>
      </w:r>
    </w:p>
    <w:p>
      <w:pPr>
        <w:pStyle w:val="0"/>
        <w:jc w:val="both"/>
      </w:pPr>
      <w:r>
        <w:rPr>
          <w:sz w:val="20"/>
        </w:rPr>
      </w:r>
    </w:p>
    <w:p>
      <w:pPr>
        <w:pStyle w:val="2"/>
        <w:outlineLvl w:val="1"/>
        <w:jc w:val="center"/>
      </w:pPr>
      <w:r>
        <w:rPr>
          <w:sz w:val="20"/>
        </w:rPr>
        <w:t xml:space="preserve">IV. Формы контроля за предоставлением</w:t>
      </w:r>
    </w:p>
    <w:p>
      <w:pPr>
        <w:pStyle w:val="2"/>
        <w:jc w:val="center"/>
      </w:pPr>
      <w:r>
        <w:rPr>
          <w:sz w:val="20"/>
        </w:rPr>
        <w:t xml:space="preserve">государственной услуги</w:t>
      </w:r>
    </w:p>
    <w:p>
      <w:pPr>
        <w:pStyle w:val="0"/>
        <w:jc w:val="both"/>
      </w:pPr>
      <w:r>
        <w:rPr>
          <w:sz w:val="20"/>
        </w:rPr>
      </w:r>
    </w:p>
    <w:p>
      <w:pPr>
        <w:pStyle w:val="2"/>
        <w:outlineLvl w:val="2"/>
        <w:jc w:val="center"/>
      </w:pPr>
      <w:r>
        <w:rPr>
          <w:sz w:val="20"/>
        </w:rPr>
        <w:t xml:space="preserve">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настоящего Административного регламента и иных нормативных</w:t>
      </w:r>
    </w:p>
    <w:p>
      <w:pPr>
        <w:pStyle w:val="2"/>
        <w:jc w:val="center"/>
      </w:pPr>
      <w:r>
        <w:rPr>
          <w:sz w:val="20"/>
        </w:rPr>
        <w:t xml:space="preserve">правовых актов, устанавливающих требования к предоставлению</w:t>
      </w:r>
    </w:p>
    <w:p>
      <w:pPr>
        <w:pStyle w:val="2"/>
        <w:jc w:val="center"/>
      </w:pPr>
      <w:r>
        <w:rPr>
          <w:sz w:val="20"/>
        </w:rPr>
        <w:t xml:space="preserve">государственной услуги, а также принятием ими решений</w:t>
      </w:r>
    </w:p>
    <w:p>
      <w:pPr>
        <w:pStyle w:val="0"/>
        <w:jc w:val="both"/>
      </w:pPr>
      <w:r>
        <w:rPr>
          <w:sz w:val="20"/>
        </w:rPr>
      </w:r>
    </w:p>
    <w:p>
      <w:pPr>
        <w:pStyle w:val="0"/>
        <w:ind w:firstLine="540"/>
        <w:jc w:val="both"/>
      </w:pPr>
      <w:r>
        <w:rPr>
          <w:sz w:val="20"/>
        </w:rPr>
        <w:t xml:space="preserve">58. Текущий контроль за соблюдением последовательности действий, установленных административными процедурами по предоставлению государственной услуги, осуществляется руководителем и должностными лицами подразделения МЧС России, предоставляющего государственную услугу, путем проведения проверок соблюдения и исполнения ответственными исполнителями положений настоящего Административного регламента, иных нормативных правовых актов Российской Федерации, а также при проведении мониторинга результативности предоставления государственной услуги (далее - проверка).</w:t>
      </w:r>
    </w:p>
    <w:p>
      <w:pPr>
        <w:pStyle w:val="0"/>
        <w:jc w:val="both"/>
      </w:pPr>
      <w:r>
        <w:rPr>
          <w:sz w:val="20"/>
        </w:rPr>
      </w:r>
    </w:p>
    <w:p>
      <w:pPr>
        <w:pStyle w:val="2"/>
        <w:outlineLvl w:val="2"/>
        <w:jc w:val="center"/>
      </w:pPr>
      <w:r>
        <w:rPr>
          <w:sz w:val="20"/>
        </w:rPr>
        <w:t xml:space="preserve">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w:t>
      </w:r>
    </w:p>
    <w:p>
      <w:pPr>
        <w:pStyle w:val="2"/>
        <w:jc w:val="center"/>
      </w:pPr>
      <w:r>
        <w:rPr>
          <w:sz w:val="20"/>
        </w:rPr>
        <w:t xml:space="preserve">контроля за полнотой и качеством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59. Проверки полноты и качества предоставления государственной услуги проводятся с целью выявления и устранения нарушений прав заявителей и привлечения виновных лиц к ответственности.</w:t>
      </w:r>
    </w:p>
    <w:p>
      <w:pPr>
        <w:pStyle w:val="0"/>
        <w:spacing w:before="200" w:line-rule="auto"/>
        <w:ind w:firstLine="540"/>
        <w:jc w:val="both"/>
      </w:pPr>
      <w:r>
        <w:rPr>
          <w:sz w:val="20"/>
        </w:rPr>
        <w:t xml:space="preserve">60. Проверки могут быть плановыми и внеплановыми.</w:t>
      </w:r>
    </w:p>
    <w:p>
      <w:pPr>
        <w:pStyle w:val="0"/>
        <w:spacing w:before="200" w:line-rule="auto"/>
        <w:ind w:firstLine="540"/>
        <w:jc w:val="both"/>
      </w:pPr>
      <w:r>
        <w:rPr>
          <w:sz w:val="20"/>
        </w:rPr>
        <w:t xml:space="preserve">61. Плановые проверки осуществляются посредством проверки соответствия принятых решений законодательству Российской Федерации.</w:t>
      </w:r>
    </w:p>
    <w:p>
      <w:pPr>
        <w:pStyle w:val="0"/>
        <w:spacing w:before="200" w:line-rule="auto"/>
        <w:ind w:firstLine="540"/>
        <w:jc w:val="both"/>
      </w:pPr>
      <w:r>
        <w:rPr>
          <w:sz w:val="20"/>
        </w:rPr>
        <w:t xml:space="preserve">62. Внеплановая проверка проводится в случаях обращения заявителя с жалобой на решения или действия (бездействие), осуществляемые (принятые) в ходе предоставления государственной услуги должностными лицами подразделения МЧС России, предоставляющего государственную услугу.</w:t>
      </w:r>
    </w:p>
    <w:p>
      <w:pPr>
        <w:pStyle w:val="0"/>
        <w:jc w:val="both"/>
      </w:pPr>
      <w:r>
        <w:rPr>
          <w:sz w:val="20"/>
        </w:rPr>
      </w:r>
    </w:p>
    <w:p>
      <w:pPr>
        <w:pStyle w:val="2"/>
        <w:outlineLvl w:val="2"/>
        <w:jc w:val="center"/>
      </w:pPr>
      <w:r>
        <w:rPr>
          <w:sz w:val="20"/>
        </w:rPr>
        <w:t xml:space="preserve">Ответственность должностных лиц органа, предоставляющего</w:t>
      </w:r>
    </w:p>
    <w:p>
      <w:pPr>
        <w:pStyle w:val="2"/>
        <w:jc w:val="center"/>
      </w:pPr>
      <w:r>
        <w:rPr>
          <w:sz w:val="20"/>
        </w:rPr>
        <w:t xml:space="preserve">государственную услугу, за решения и действия</w:t>
      </w:r>
    </w:p>
    <w:p>
      <w:pPr>
        <w:pStyle w:val="2"/>
        <w:jc w:val="center"/>
      </w:pPr>
      <w:r>
        <w:rPr>
          <w:sz w:val="20"/>
        </w:rPr>
        <w:t xml:space="preserve">(бездействие), принимаемые (осуществляемые) ими в ходе</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63. За неисполнение или ненадлежащее исполнение своих обязанностей по выполнению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подразделения МЧС России, предоставляющего государственную услугу, несут ответственность, предусмотренную законодательством Российской Федерации.</w:t>
      </w:r>
    </w:p>
    <w:p>
      <w:pPr>
        <w:pStyle w:val="0"/>
        <w:jc w:val="both"/>
      </w:pPr>
      <w:r>
        <w:rPr>
          <w:sz w:val="20"/>
        </w:rPr>
      </w:r>
    </w:p>
    <w:p>
      <w:pPr>
        <w:pStyle w:val="2"/>
        <w:outlineLvl w:val="2"/>
        <w:jc w:val="center"/>
      </w:pPr>
      <w:r>
        <w:rPr>
          <w:sz w:val="20"/>
        </w:rPr>
        <w:t xml:space="preserve">Положения, характеризующие требования к порядку и формам</w:t>
      </w:r>
    </w:p>
    <w:p>
      <w:pPr>
        <w:pStyle w:val="2"/>
        <w:jc w:val="center"/>
      </w:pPr>
      <w:r>
        <w:rPr>
          <w:sz w:val="20"/>
        </w:rPr>
        <w:t xml:space="preserve">контроля за предоставлением государственной услуги, в том</w:t>
      </w:r>
    </w:p>
    <w:p>
      <w:pPr>
        <w:pStyle w:val="2"/>
        <w:jc w:val="center"/>
      </w:pPr>
      <w:r>
        <w:rPr>
          <w:sz w:val="20"/>
        </w:rPr>
        <w:t xml:space="preserve">числе со стороны граждан, их объединений и организаций</w:t>
      </w:r>
    </w:p>
    <w:p>
      <w:pPr>
        <w:pStyle w:val="0"/>
        <w:jc w:val="both"/>
      </w:pPr>
      <w:r>
        <w:rPr>
          <w:sz w:val="20"/>
        </w:rPr>
      </w:r>
    </w:p>
    <w:p>
      <w:pPr>
        <w:pStyle w:val="0"/>
        <w:ind w:firstLine="540"/>
        <w:jc w:val="both"/>
      </w:pPr>
      <w:r>
        <w:rPr>
          <w:sz w:val="20"/>
        </w:rPr>
        <w:t xml:space="preserve">64. Контроль за предоставлением государственной услуги со стороны уполномоченных должностных лиц подразделения МЧС России, предоставляющего государственную услугу, должен быть постоянным, всесторонним и объективным.</w:t>
      </w:r>
    </w:p>
    <w:p>
      <w:pPr>
        <w:pStyle w:val="0"/>
        <w:spacing w:before="200" w:line-rule="auto"/>
        <w:ind w:firstLine="540"/>
        <w:jc w:val="both"/>
      </w:pPr>
      <w:r>
        <w:rPr>
          <w:sz w:val="20"/>
        </w:rPr>
        <w:t xml:space="preserve">65. Для осуществления контроля за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подразделения МЧС России, предоставляющего государственную услугу, требований настоящего Административного регламента, законодательных и иных нормативных правовых актов Российской Федерации.</w:t>
      </w:r>
    </w:p>
    <w:p>
      <w:pPr>
        <w:pStyle w:val="0"/>
        <w:jc w:val="both"/>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а также его должностных лиц</w:t>
      </w:r>
    </w:p>
    <w:p>
      <w:pPr>
        <w:pStyle w:val="0"/>
        <w:jc w:val="both"/>
      </w:pPr>
      <w:r>
        <w:rPr>
          <w:sz w:val="20"/>
        </w:rPr>
      </w:r>
    </w:p>
    <w:p>
      <w:pPr>
        <w:pStyle w:val="2"/>
        <w:outlineLvl w:val="2"/>
        <w:jc w:val="center"/>
      </w:pPr>
      <w:r>
        <w:rPr>
          <w:sz w:val="20"/>
        </w:rPr>
        <w:t xml:space="preserve">Информация для заинтересованных лиц об их праве</w:t>
      </w:r>
    </w:p>
    <w:p>
      <w:pPr>
        <w:pStyle w:val="2"/>
        <w:jc w:val="center"/>
      </w:pPr>
      <w:r>
        <w:rPr>
          <w:sz w:val="20"/>
        </w:rPr>
        <w:t xml:space="preserve">на досудебное (внесудебное) обжалование действий</w:t>
      </w:r>
    </w:p>
    <w:p>
      <w:pPr>
        <w:pStyle w:val="2"/>
        <w:jc w:val="center"/>
      </w:pPr>
      <w:r>
        <w:rPr>
          <w:sz w:val="20"/>
        </w:rPr>
        <w:t xml:space="preserve">(бездействия) и (или) решений, принятых (осуществленных)</w:t>
      </w:r>
    </w:p>
    <w:p>
      <w:pPr>
        <w:pStyle w:val="2"/>
        <w:jc w:val="center"/>
      </w:pPr>
      <w:r>
        <w:rPr>
          <w:sz w:val="20"/>
        </w:rPr>
        <w:t xml:space="preserve">в ходе предоставления государственной услуги</w:t>
      </w:r>
    </w:p>
    <w:p>
      <w:pPr>
        <w:pStyle w:val="0"/>
        <w:jc w:val="both"/>
      </w:pPr>
      <w:r>
        <w:rPr>
          <w:sz w:val="20"/>
        </w:rPr>
      </w:r>
    </w:p>
    <w:p>
      <w:pPr>
        <w:pStyle w:val="0"/>
        <w:ind w:firstLine="540"/>
        <w:jc w:val="both"/>
      </w:pPr>
      <w:r>
        <w:rPr>
          <w:sz w:val="20"/>
        </w:rPr>
        <w:t xml:space="preserve">66. Заявитель вправе обжаловать действия (бездействие) должностных лиц подразделения МЧС России, предоставляющего государственную услугу, и решения, принятые (осуществленные) ими в ходе предоставления государственной услуги, в том числе в досудебном (внесудебном) порядке в следующих случаях:</w:t>
      </w:r>
    </w:p>
    <w:p>
      <w:pPr>
        <w:pStyle w:val="0"/>
        <w:spacing w:before="200" w:line-rule="auto"/>
        <w:ind w:firstLine="540"/>
        <w:jc w:val="both"/>
      </w:pPr>
      <w:r>
        <w:rPr>
          <w:sz w:val="20"/>
        </w:rPr>
        <w:t xml:space="preserve">нарушение срока регистрации заявления;</w:t>
      </w:r>
    </w:p>
    <w:p>
      <w:pPr>
        <w:pStyle w:val="0"/>
        <w:spacing w:before="200" w:line-rule="auto"/>
        <w:ind w:firstLine="540"/>
        <w:jc w:val="both"/>
      </w:pPr>
      <w:r>
        <w:rPr>
          <w:sz w:val="20"/>
        </w:rPr>
        <w:t xml:space="preserve">нарушение срока предоставления государственной услуги;</w:t>
      </w:r>
    </w:p>
    <w:p>
      <w:pPr>
        <w:pStyle w:val="0"/>
        <w:spacing w:before="200" w:line-rule="auto"/>
        <w:ind w:firstLine="540"/>
        <w:jc w:val="both"/>
      </w:pPr>
      <w:r>
        <w:rPr>
          <w:sz w:val="20"/>
        </w:rPr>
        <w:t xml:space="preserve">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 а также настоящим Административным регламентом;</w:t>
      </w:r>
    </w:p>
    <w:p>
      <w:pPr>
        <w:pStyle w:val="0"/>
        <w:spacing w:before="200" w:line-rule="auto"/>
        <w:ind w:firstLine="540"/>
        <w:jc w:val="both"/>
      </w:pPr>
      <w:r>
        <w:rPr>
          <w:sz w:val="20"/>
        </w:rPr>
        <w:t xml:space="preserve">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pPr>
        <w:pStyle w:val="0"/>
        <w:spacing w:before="200" w:line-rule="auto"/>
        <w:ind w:firstLine="540"/>
        <w:jc w:val="both"/>
      </w:pPr>
      <w:r>
        <w:rPr>
          <w:sz w:val="20"/>
        </w:rP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настоящим Административным регламентом;</w:t>
      </w:r>
    </w:p>
    <w:p>
      <w:pPr>
        <w:pStyle w:val="0"/>
        <w:spacing w:before="200" w:line-rule="auto"/>
        <w:ind w:firstLine="540"/>
        <w:jc w:val="both"/>
      </w:pPr>
      <w:r>
        <w:rPr>
          <w:sz w:val="20"/>
        </w:rPr>
        <w:t xml:space="preserve">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pPr>
        <w:pStyle w:val="0"/>
        <w:spacing w:before="200" w:line-rule="auto"/>
        <w:ind w:firstLine="540"/>
        <w:jc w:val="both"/>
      </w:pPr>
      <w:r>
        <w:rPr>
          <w:sz w:val="20"/>
        </w:rPr>
        <w:t xml:space="preserve">отказ должностных лиц подразделения МЧС России,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0"/>
        <w:jc w:val="both"/>
      </w:pPr>
      <w:r>
        <w:rPr>
          <w:sz w:val="20"/>
        </w:rPr>
      </w:r>
    </w:p>
    <w:p>
      <w:pPr>
        <w:pStyle w:val="2"/>
        <w:outlineLvl w:val="2"/>
        <w:jc w:val="center"/>
      </w:pPr>
      <w:r>
        <w:rPr>
          <w:sz w:val="20"/>
        </w:rPr>
        <w:t xml:space="preserve">Органы государственной власти, организации и уполномоченные</w:t>
      </w:r>
    </w:p>
    <w:p>
      <w:pPr>
        <w:pStyle w:val="2"/>
        <w:jc w:val="center"/>
      </w:pPr>
      <w:r>
        <w:rPr>
          <w:sz w:val="20"/>
        </w:rPr>
        <w:t xml:space="preserve">на рассмотрение жалобы лица, которым может быть направлена</w:t>
      </w:r>
    </w:p>
    <w:p>
      <w:pPr>
        <w:pStyle w:val="2"/>
        <w:jc w:val="center"/>
      </w:pPr>
      <w:r>
        <w:rPr>
          <w:sz w:val="20"/>
        </w:rPr>
        <w:t xml:space="preserve">жалоба заявителя в досудебном (внесудебном) порядке</w:t>
      </w:r>
    </w:p>
    <w:p>
      <w:pPr>
        <w:pStyle w:val="0"/>
        <w:jc w:val="both"/>
      </w:pPr>
      <w:r>
        <w:rPr>
          <w:sz w:val="20"/>
        </w:rPr>
      </w:r>
    </w:p>
    <w:p>
      <w:pPr>
        <w:pStyle w:val="0"/>
        <w:ind w:firstLine="540"/>
        <w:jc w:val="both"/>
      </w:pPr>
      <w:r>
        <w:rPr>
          <w:sz w:val="20"/>
        </w:rPr>
        <w:t xml:space="preserve">67. Жалоба на решения и действия (бездействие) должностных лиц подается в МЧС России и (или) подразделение МЧС России, предоставляющее государственную услугу, и рассматривается в порядке, предусмотренном </w:t>
      </w:r>
      <w:hyperlink w:history="0" r:id="rId19"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Правилами</w:t>
        </w:r>
      </w:hyperlink>
      <w:r>
        <w:rPr>
          <w:sz w:val="20"/>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Собрание законодательства Российской Федерации, 2012, N 35, ст. 4829; 2018, N 25, ст. 3696.</w:t>
      </w:r>
    </w:p>
    <w:p>
      <w:pPr>
        <w:pStyle w:val="0"/>
        <w:jc w:val="both"/>
      </w:pPr>
      <w:r>
        <w:rPr>
          <w:sz w:val="20"/>
        </w:rPr>
      </w:r>
    </w:p>
    <w:p>
      <w:pPr>
        <w:pStyle w:val="2"/>
        <w:outlineLvl w:val="2"/>
        <w:jc w:val="center"/>
      </w:pPr>
      <w:r>
        <w:rPr>
          <w:sz w:val="20"/>
        </w:rPr>
        <w:t xml:space="preserve">Способы информирования заявителей о порядке подачи</w:t>
      </w:r>
    </w:p>
    <w:p>
      <w:pPr>
        <w:pStyle w:val="2"/>
        <w:jc w:val="center"/>
      </w:pPr>
      <w:r>
        <w:rPr>
          <w:sz w:val="20"/>
        </w:rPr>
        <w:t xml:space="preserve">и рассмотрения жалобы, в том числе с использованием Единого</w:t>
      </w:r>
    </w:p>
    <w:p>
      <w:pPr>
        <w:pStyle w:val="2"/>
        <w:jc w:val="center"/>
      </w:pPr>
      <w:r>
        <w:rPr>
          <w:sz w:val="20"/>
        </w:rPr>
        <w:t xml:space="preserve">портала государственных услуг</w:t>
      </w:r>
    </w:p>
    <w:p>
      <w:pPr>
        <w:pStyle w:val="0"/>
        <w:jc w:val="both"/>
      </w:pPr>
      <w:r>
        <w:rPr>
          <w:sz w:val="20"/>
        </w:rPr>
      </w:r>
    </w:p>
    <w:p>
      <w:pPr>
        <w:pStyle w:val="0"/>
        <w:ind w:firstLine="540"/>
        <w:jc w:val="both"/>
      </w:pPr>
      <w:r>
        <w:rPr>
          <w:sz w:val="20"/>
        </w:rPr>
        <w:t xml:space="preserve">68. Информирование заявителей о порядке подачи и рассмотрения жалобы, в том числе с использованием Единого портала государственных услуг, осуществляется в соответствии с </w:t>
      </w:r>
      <w:hyperlink w:history="0" w:anchor="P60" w:tooltip="4. Информация о государственной услуге предоставляется:">
        <w:r>
          <w:rPr>
            <w:sz w:val="20"/>
            <w:color w:val="0000ff"/>
          </w:rPr>
          <w:t xml:space="preserve">пунктом 4</w:t>
        </w:r>
      </w:hyperlink>
      <w:r>
        <w:rPr>
          <w:sz w:val="20"/>
        </w:rPr>
        <w:t xml:space="preserve"> настоящего Административного регламента.</w:t>
      </w:r>
    </w:p>
    <w:p>
      <w:pPr>
        <w:pStyle w:val="0"/>
        <w:jc w:val="both"/>
      </w:pPr>
      <w:r>
        <w:rPr>
          <w:sz w:val="20"/>
        </w:rPr>
      </w:r>
    </w:p>
    <w:p>
      <w:pPr>
        <w:pStyle w:val="2"/>
        <w:outlineLvl w:val="2"/>
        <w:jc w:val="center"/>
      </w:pPr>
      <w:r>
        <w:rPr>
          <w:sz w:val="20"/>
        </w:rPr>
        <w:t xml:space="preserve">Перечень нормативных правовых актов, регулирующих порядок</w:t>
      </w:r>
    </w:p>
    <w:p>
      <w:pPr>
        <w:pStyle w:val="2"/>
        <w:jc w:val="center"/>
      </w:pPr>
      <w:r>
        <w:rPr>
          <w:sz w:val="20"/>
        </w:rPr>
        <w:t xml:space="preserve">досудебного (внесудебного) обжалования решений и действий</w:t>
      </w:r>
    </w:p>
    <w:p>
      <w:pPr>
        <w:pStyle w:val="2"/>
        <w:jc w:val="center"/>
      </w:pPr>
      <w:r>
        <w:rPr>
          <w:sz w:val="20"/>
        </w:rPr>
        <w:t xml:space="preserve">(бездействия) органа, предоставляющего государственную</w:t>
      </w:r>
    </w:p>
    <w:p>
      <w:pPr>
        <w:pStyle w:val="2"/>
        <w:jc w:val="center"/>
      </w:pPr>
      <w:r>
        <w:rPr>
          <w:sz w:val="20"/>
        </w:rPr>
        <w:t xml:space="preserve">услугу, а также его должностных лиц</w:t>
      </w:r>
    </w:p>
    <w:p>
      <w:pPr>
        <w:pStyle w:val="0"/>
        <w:jc w:val="both"/>
      </w:pPr>
      <w:r>
        <w:rPr>
          <w:sz w:val="20"/>
        </w:rPr>
      </w:r>
    </w:p>
    <w:p>
      <w:pPr>
        <w:pStyle w:val="0"/>
        <w:ind w:firstLine="540"/>
        <w:jc w:val="both"/>
      </w:pPr>
      <w:r>
        <w:rPr>
          <w:sz w:val="20"/>
        </w:rPr>
        <w:t xml:space="preserve">69. Нормативные правовые акты, регулирующие порядок досудебного (внесудебного) обжалования решений и действий (бездействия) подразделения МЧС России, предоставляющего государственную услугу, а также его должностных лиц:</w:t>
      </w:r>
    </w:p>
    <w:p>
      <w:pPr>
        <w:pStyle w:val="0"/>
        <w:spacing w:before="200" w:line-rule="auto"/>
        <w:ind w:firstLine="540"/>
        <w:jc w:val="both"/>
      </w:pPr>
      <w:r>
        <w:rPr>
          <w:sz w:val="20"/>
        </w:rPr>
        <w:t xml:space="preserve">Федеральный </w:t>
      </w:r>
      <w:hyperlink w:history="0" r:id="rId20"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sz w:val="20"/>
            <w:color w:val="0000ff"/>
          </w:rPr>
          <w:t xml:space="preserve">закон</w:t>
        </w:r>
      </w:hyperlink>
      <w:r>
        <w:rPr>
          <w:sz w:val="20"/>
        </w:rPr>
        <w:t xml:space="preserve"> от 27 июля 2010 г. N 210-ФЗ "Об организации предоставления государственных и муниципальных услуг";</w:t>
      </w:r>
    </w:p>
    <w:p>
      <w:pPr>
        <w:pStyle w:val="0"/>
        <w:spacing w:before="200" w:line-rule="auto"/>
        <w:ind w:firstLine="540"/>
        <w:jc w:val="both"/>
      </w:pPr>
      <w:hyperlink w:history="0" r:id="rId21"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постановление</w:t>
        </w:r>
      </w:hyperlink>
      <w:r>
        <w:rPr>
          <w:sz w:val="20"/>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0"/>
        <w:spacing w:before="200" w:line-rule="auto"/>
        <w:ind w:firstLine="540"/>
        <w:jc w:val="both"/>
      </w:pPr>
      <w:hyperlink w:history="0" r:id="rId22"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Собрание законодательства Российской Федерации, 2012, N 48, ст. 6706; 2018, N 49, ст. 7600.</w:t>
      </w:r>
    </w:p>
    <w:p>
      <w:pPr>
        <w:pStyle w:val="0"/>
        <w:jc w:val="both"/>
      </w:pPr>
      <w:r>
        <w:rPr>
          <w:sz w:val="20"/>
        </w:rPr>
      </w:r>
    </w:p>
    <w:p>
      <w:pPr>
        <w:pStyle w:val="0"/>
        <w:ind w:firstLine="540"/>
        <w:jc w:val="both"/>
      </w:pPr>
      <w:r>
        <w:rPr>
          <w:sz w:val="20"/>
        </w:rPr>
        <w:t xml:space="preserve">70. Информация, указанная в настоящем разделе Административного регламента, подлежит размещению на Едином портале государственных услуг.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Министерства Российской Федерации</w:t>
      </w:r>
    </w:p>
    <w:p>
      <w:pPr>
        <w:pStyle w:val="0"/>
        <w:jc w:val="right"/>
      </w:pPr>
      <w:r>
        <w:rPr>
          <w:sz w:val="20"/>
        </w:rPr>
        <w:t xml:space="preserve">по делам гражданской обороны,</w:t>
      </w:r>
    </w:p>
    <w:p>
      <w:pPr>
        <w:pStyle w:val="0"/>
        <w:jc w:val="right"/>
      </w:pPr>
      <w:r>
        <w:rPr>
          <w:sz w:val="20"/>
        </w:rPr>
        <w:t xml:space="preserve">чрезвычайным ситуациям и ликвидации</w:t>
      </w:r>
    </w:p>
    <w:p>
      <w:pPr>
        <w:pStyle w:val="0"/>
        <w:jc w:val="right"/>
      </w:pPr>
      <w:r>
        <w:rPr>
          <w:sz w:val="20"/>
        </w:rPr>
        <w:t xml:space="preserve">последствий стихийных бедствий</w:t>
      </w:r>
    </w:p>
    <w:p>
      <w:pPr>
        <w:pStyle w:val="0"/>
        <w:jc w:val="right"/>
      </w:pPr>
      <w:r>
        <w:rPr>
          <w:sz w:val="20"/>
        </w:rPr>
        <w:t xml:space="preserve">по предоставлению государственной</w:t>
      </w:r>
    </w:p>
    <w:p>
      <w:pPr>
        <w:pStyle w:val="0"/>
        <w:jc w:val="right"/>
      </w:pPr>
      <w:r>
        <w:rPr>
          <w:sz w:val="20"/>
        </w:rPr>
        <w:t xml:space="preserve">услуги по регистрации декларации</w:t>
      </w:r>
    </w:p>
    <w:p>
      <w:pPr>
        <w:pStyle w:val="0"/>
        <w:jc w:val="right"/>
      </w:pPr>
      <w:r>
        <w:rPr>
          <w:sz w:val="20"/>
        </w:rPr>
        <w:t xml:space="preserve">пожарной безопасности, утвержденному</w:t>
      </w:r>
    </w:p>
    <w:p>
      <w:pPr>
        <w:pStyle w:val="0"/>
        <w:jc w:val="right"/>
      </w:pPr>
      <w:r>
        <w:rPr>
          <w:sz w:val="20"/>
        </w:rPr>
        <w:t xml:space="preserve">приказом МЧС России</w:t>
      </w:r>
    </w:p>
    <w:p>
      <w:pPr>
        <w:pStyle w:val="0"/>
        <w:jc w:val="right"/>
      </w:pPr>
      <w:r>
        <w:rPr>
          <w:sz w:val="20"/>
        </w:rPr>
        <w:t xml:space="preserve">от 16.03.2020 N 171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blPrEx>
          <w:tblBorders>
            <w:insideH w:val="single" w:sz="4"/>
          </w:tblBorders>
        </w:tblPrEx>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jc w:val="center"/>
            </w:pPr>
            <w:r>
              <w:rPr>
                <w:sz w:val="20"/>
              </w:rPr>
              <w:t xml:space="preserve">Наименование подразделения МЧС России, предоставляющего государственную услугу</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bookmarkStart w:id="442" w:name="P442"/>
          <w:bookmarkEnd w:id="442"/>
          <w:p>
            <w:pPr>
              <w:pStyle w:val="0"/>
              <w:jc w:val="center"/>
            </w:pPr>
            <w:r>
              <w:rPr>
                <w:sz w:val="20"/>
              </w:rPr>
              <w:t xml:space="preserve">Заявление</w:t>
            </w:r>
          </w:p>
          <w:p>
            <w:pPr>
              <w:pStyle w:val="0"/>
              <w:jc w:val="center"/>
            </w:pPr>
            <w:r>
              <w:rPr>
                <w:sz w:val="20"/>
              </w:rPr>
              <w:t xml:space="preserve">о регистрации декларации пожарной безопасности</w:t>
            </w:r>
          </w:p>
        </w:tc>
      </w:tr>
    </w:tbl>
    <w:p>
      <w:pPr>
        <w:pStyle w:val="0"/>
        <w:jc w:val="both"/>
      </w:pPr>
      <w:r>
        <w:rPr>
          <w:sz w:val="20"/>
        </w:rPr>
      </w:r>
    </w:p>
    <w:p>
      <w:pPr>
        <w:pStyle w:val="1"/>
        <w:jc w:val="both"/>
      </w:pPr>
      <w:r>
        <w:rPr>
          <w:sz w:val="20"/>
        </w:rPr>
        <w:t xml:space="preserve">    Прошу     зарегистрировать     декларацию     пожарной     безопасности</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объекта защиты и адрес объекта защиты</w:t>
      </w:r>
    </w:p>
    <w:p>
      <w:pPr>
        <w:pStyle w:val="1"/>
        <w:jc w:val="both"/>
      </w:pPr>
      <w:r>
        <w:rPr>
          <w:sz w:val="20"/>
        </w:rPr>
        <w:t xml:space="preserve">    основной   государственный   регистрационный   номер   (за  исключением</w:t>
      </w:r>
    </w:p>
    <w:p>
      <w:pPr>
        <w:pStyle w:val="1"/>
        <w:jc w:val="both"/>
      </w:pPr>
      <w:r>
        <w:rPr>
          <w:sz w:val="20"/>
        </w:rPr>
        <w:t xml:space="preserve">физического лица) _________________________________________________________</w:t>
      </w:r>
    </w:p>
    <w:p>
      <w:pPr>
        <w:pStyle w:val="1"/>
        <w:jc w:val="both"/>
      </w:pPr>
      <w:r>
        <w:rPr>
          <w:sz w:val="20"/>
        </w:rPr>
        <w:t xml:space="preserve">    идентификационный номер налогоплательщика _____________________________</w:t>
      </w:r>
    </w:p>
    <w:p>
      <w:pPr>
        <w:pStyle w:val="1"/>
        <w:jc w:val="both"/>
      </w:pPr>
      <w:r>
        <w:rPr>
          <w:sz w:val="20"/>
        </w:rPr>
        <w:t xml:space="preserve">    реквизиты  документа,  подтверждающего  право  собственности  на объект</w:t>
      </w:r>
    </w:p>
    <w:p>
      <w:pPr>
        <w:pStyle w:val="1"/>
        <w:jc w:val="both"/>
      </w:pPr>
      <w:r>
        <w:rPr>
          <w:sz w:val="20"/>
        </w:rPr>
        <w:t xml:space="preserve">защиты  или  владения  объектом  защиты  на  праве  хозяйственного ведения,</w:t>
      </w:r>
    </w:p>
    <w:p>
      <w:pPr>
        <w:pStyle w:val="1"/>
        <w:jc w:val="both"/>
      </w:pPr>
      <w:r>
        <w:rPr>
          <w:sz w:val="20"/>
        </w:rPr>
        <w:t xml:space="preserve">оперативного  управления  либо  ином  законном  основании,  предусмотренном</w:t>
      </w:r>
    </w:p>
    <w:p>
      <w:pPr>
        <w:pStyle w:val="1"/>
        <w:jc w:val="both"/>
      </w:pPr>
      <w:r>
        <w:rPr>
          <w:sz w:val="20"/>
        </w:rPr>
        <w:t xml:space="preserve">федеральным законом или договором 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1133"/>
        <w:gridCol w:w="6066"/>
        <w:gridCol w:w="1813"/>
      </w:tblGrid>
      <w:tr>
        <w:tc>
          <w:tcPr>
            <w:tcW w:w="1133" w:type="dxa"/>
            <w:tcBorders>
              <w:top w:val="nil"/>
              <w:left w:val="nil"/>
              <w:bottom w:val="nil"/>
              <w:right w:val="nil"/>
            </w:tcBorders>
          </w:tcPr>
          <w:p>
            <w:pPr>
              <w:pStyle w:val="0"/>
            </w:pPr>
            <w:r>
              <w:rPr>
                <w:sz w:val="20"/>
              </w:rPr>
            </w:r>
          </w:p>
        </w:tc>
        <w:tc>
          <w:tcPr>
            <w:tcW w:w="6066" w:type="dxa"/>
            <w:tcBorders>
              <w:top w:val="nil"/>
              <w:left w:val="nil"/>
              <w:bottom w:val="nil"/>
              <w:right w:val="nil"/>
            </w:tcBorders>
          </w:tcPr>
          <w:p>
            <w:pPr>
              <w:pStyle w:val="0"/>
            </w:pPr>
            <w:r>
              <w:rPr>
                <w:sz w:val="20"/>
              </w:rPr>
              <w:t xml:space="preserve">(фамилия, имя, отчество (при наличии)</w:t>
            </w:r>
          </w:p>
        </w:tc>
        <w:tc>
          <w:tcPr>
            <w:tcW w:w="1813" w:type="dxa"/>
            <w:tcBorders>
              <w:top w:val="nil"/>
              <w:left w:val="nil"/>
              <w:bottom w:val="single" w:sz="4"/>
              <w:right w:val="nil"/>
            </w:tcBorders>
          </w:tcPr>
          <w:p>
            <w:pPr>
              <w:pStyle w:val="0"/>
            </w:pPr>
            <w:r>
              <w:rPr>
                <w:sz w:val="20"/>
              </w:rPr>
            </w:r>
          </w:p>
        </w:tc>
      </w:tr>
      <w:tr>
        <w:tc>
          <w:tcPr>
            <w:tcW w:w="1133" w:type="dxa"/>
            <w:tcBorders>
              <w:top w:val="nil"/>
              <w:left w:val="nil"/>
              <w:bottom w:val="nil"/>
              <w:right w:val="nil"/>
            </w:tcBorders>
          </w:tcPr>
          <w:p>
            <w:pPr>
              <w:pStyle w:val="0"/>
            </w:pPr>
            <w:r>
              <w:rPr>
                <w:sz w:val="20"/>
              </w:rPr>
            </w:r>
          </w:p>
        </w:tc>
        <w:tc>
          <w:tcPr>
            <w:tcW w:w="6066" w:type="dxa"/>
            <w:tcBorders>
              <w:top w:val="nil"/>
              <w:left w:val="nil"/>
              <w:bottom w:val="nil"/>
              <w:right w:val="nil"/>
            </w:tcBorders>
          </w:tcPr>
          <w:p>
            <w:pPr>
              <w:pStyle w:val="0"/>
            </w:pPr>
            <w:r>
              <w:rPr>
                <w:sz w:val="20"/>
              </w:rPr>
            </w:r>
          </w:p>
        </w:tc>
        <w:tc>
          <w:tcPr>
            <w:tcW w:w="1813"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Министерства Российской Федерации</w:t>
      </w:r>
    </w:p>
    <w:p>
      <w:pPr>
        <w:pStyle w:val="0"/>
        <w:jc w:val="right"/>
      </w:pPr>
      <w:r>
        <w:rPr>
          <w:sz w:val="20"/>
        </w:rPr>
        <w:t xml:space="preserve">по делам гражданской обороны,</w:t>
      </w:r>
    </w:p>
    <w:p>
      <w:pPr>
        <w:pStyle w:val="0"/>
        <w:jc w:val="right"/>
      </w:pPr>
      <w:r>
        <w:rPr>
          <w:sz w:val="20"/>
        </w:rPr>
        <w:t xml:space="preserve">чрезвычайным ситуациям и ликвидации</w:t>
      </w:r>
    </w:p>
    <w:p>
      <w:pPr>
        <w:pStyle w:val="0"/>
        <w:jc w:val="right"/>
      </w:pPr>
      <w:r>
        <w:rPr>
          <w:sz w:val="20"/>
        </w:rPr>
        <w:t xml:space="preserve">последствий стихийных бедствий</w:t>
      </w:r>
    </w:p>
    <w:p>
      <w:pPr>
        <w:pStyle w:val="0"/>
        <w:jc w:val="right"/>
      </w:pPr>
      <w:r>
        <w:rPr>
          <w:sz w:val="20"/>
        </w:rPr>
        <w:t xml:space="preserve">по предоставлению государственной</w:t>
      </w:r>
    </w:p>
    <w:p>
      <w:pPr>
        <w:pStyle w:val="0"/>
        <w:jc w:val="right"/>
      </w:pPr>
      <w:r>
        <w:rPr>
          <w:sz w:val="20"/>
        </w:rPr>
        <w:t xml:space="preserve">услуги по регистрации декларации</w:t>
      </w:r>
    </w:p>
    <w:p>
      <w:pPr>
        <w:pStyle w:val="0"/>
        <w:jc w:val="right"/>
      </w:pPr>
      <w:r>
        <w:rPr>
          <w:sz w:val="20"/>
        </w:rPr>
        <w:t xml:space="preserve">пожарной безопасности, утвержденному</w:t>
      </w:r>
    </w:p>
    <w:p>
      <w:pPr>
        <w:pStyle w:val="0"/>
        <w:jc w:val="right"/>
      </w:pPr>
      <w:r>
        <w:rPr>
          <w:sz w:val="20"/>
        </w:rPr>
        <w:t xml:space="preserve">приказом МЧС России</w:t>
      </w:r>
    </w:p>
    <w:p>
      <w:pPr>
        <w:pStyle w:val="0"/>
        <w:jc w:val="right"/>
      </w:pPr>
      <w:r>
        <w:rPr>
          <w:sz w:val="20"/>
        </w:rPr>
        <w:t xml:space="preserve">от 16.03.2020 N 171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blPrEx>
          <w:tblBorders>
            <w:insideH w:val="single" w:sz="4"/>
          </w:tblBorders>
        </w:tblPrEx>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jc w:val="center"/>
            </w:pPr>
            <w:r>
              <w:rPr>
                <w:sz w:val="20"/>
              </w:rPr>
              <w:t xml:space="preserve">Наименование подразделения МЧС России, предоставляющего государственную услугу</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bookmarkStart w:id="484" w:name="P484"/>
          <w:bookmarkEnd w:id="484"/>
          <w:p>
            <w:pPr>
              <w:pStyle w:val="0"/>
              <w:jc w:val="center"/>
            </w:pPr>
            <w:r>
              <w:rPr>
                <w:sz w:val="20"/>
              </w:rPr>
              <w:t xml:space="preserve">Заявление</w:t>
            </w:r>
          </w:p>
          <w:p>
            <w:pPr>
              <w:pStyle w:val="0"/>
              <w:jc w:val="center"/>
            </w:pPr>
            <w:r>
              <w:rPr>
                <w:sz w:val="20"/>
              </w:rPr>
              <w:t xml:space="preserve">об исправлении опечаток и ошибок, допущенных в выданных в результате предоставления государственной услуги документах</w:t>
            </w:r>
          </w:p>
        </w:tc>
      </w:tr>
    </w:tbl>
    <w:p>
      <w:pPr>
        <w:pStyle w:val="0"/>
        <w:jc w:val="both"/>
      </w:pPr>
      <w:r>
        <w:rPr>
          <w:sz w:val="20"/>
        </w:rPr>
      </w:r>
    </w:p>
    <w:p>
      <w:pPr>
        <w:pStyle w:val="1"/>
        <w:jc w:val="both"/>
      </w:pPr>
      <w:r>
        <w:rPr>
          <w:sz w:val="20"/>
        </w:rPr>
        <w:t xml:space="preserve">    Прошу   исправить   опечатки   и  ошибки,  допущенные  при  регистрации</w:t>
      </w:r>
    </w:p>
    <w:p>
      <w:pPr>
        <w:pStyle w:val="1"/>
        <w:jc w:val="both"/>
      </w:pPr>
      <w:r>
        <w:rPr>
          <w:sz w:val="20"/>
        </w:rPr>
        <w:t xml:space="preserve">декларации пожарной безопасности от ___________________ N _________________</w:t>
      </w:r>
    </w:p>
    <w:p>
      <w:pPr>
        <w:pStyle w:val="1"/>
        <w:jc w:val="both"/>
      </w:pPr>
      <w:r>
        <w:rPr>
          <w:sz w:val="20"/>
        </w:rPr>
        <w:t xml:space="preserve">в отношении _______________________________________________________________</w:t>
      </w:r>
    </w:p>
    <w:p>
      <w:pPr>
        <w:pStyle w:val="1"/>
        <w:jc w:val="both"/>
      </w:pPr>
      <w:r>
        <w:rPr>
          <w:sz w:val="20"/>
        </w:rPr>
        <w:t xml:space="preserve">               полное наименование объекта защиты и адрес объекта защиты,</w:t>
      </w:r>
    </w:p>
    <w:p>
      <w:pPr>
        <w:pStyle w:val="1"/>
        <w:jc w:val="both"/>
      </w:pPr>
      <w:r>
        <w:rPr>
          <w:sz w:val="20"/>
        </w:rPr>
        <w:t xml:space="preserve">___________________________________________________________________________</w:t>
      </w:r>
    </w:p>
    <w:p>
      <w:pPr>
        <w:pStyle w:val="1"/>
        <w:jc w:val="both"/>
      </w:pPr>
      <w:r>
        <w:rPr>
          <w:sz w:val="20"/>
        </w:rPr>
        <w:t xml:space="preserve">            реквизиты допущенной опечатки и ошибки в декларации</w:t>
      </w:r>
    </w:p>
    <w:p>
      <w:pPr>
        <w:pStyle w:val="0"/>
        <w:jc w:val="both"/>
      </w:pPr>
      <w:r>
        <w:rPr>
          <w:sz w:val="20"/>
        </w:rPr>
      </w:r>
    </w:p>
    <w:tbl>
      <w:tblPr>
        <w:tblInd w:w="0" w:type="dxa"/>
        <w:tblLayout w:type="fixed"/>
        <w:tblCellMar>
          <w:top w:w="102" w:type="dxa"/>
          <w:left w:w="62" w:type="dxa"/>
          <w:bottom w:w="102" w:type="dxa"/>
          <w:right w:w="62" w:type="dxa"/>
        </w:tblCellMar>
      </w:tblPr>
      <w:tblGrid>
        <w:gridCol w:w="1133"/>
        <w:gridCol w:w="6066"/>
        <w:gridCol w:w="1813"/>
      </w:tblGrid>
      <w:tr>
        <w:tc>
          <w:tcPr>
            <w:gridSpan w:val="2"/>
            <w:tcW w:w="7199" w:type="dxa"/>
            <w:tcBorders>
              <w:top w:val="nil"/>
              <w:left w:val="nil"/>
              <w:bottom w:val="nil"/>
              <w:right w:val="nil"/>
            </w:tcBorders>
          </w:tcPr>
          <w:p>
            <w:pPr>
              <w:pStyle w:val="0"/>
            </w:pPr>
            <w:r>
              <w:rPr>
                <w:sz w:val="20"/>
              </w:rPr>
              <w:t xml:space="preserve">(фамилия, имя, отчество (при наличии)</w:t>
            </w:r>
          </w:p>
        </w:tc>
        <w:tc>
          <w:tcPr>
            <w:tcW w:w="1813" w:type="dxa"/>
            <w:tcBorders>
              <w:top w:val="nil"/>
              <w:left w:val="nil"/>
              <w:bottom w:val="single" w:sz="4"/>
              <w:right w:val="nil"/>
            </w:tcBorders>
          </w:tcPr>
          <w:p>
            <w:pPr>
              <w:pStyle w:val="0"/>
            </w:pPr>
            <w:r>
              <w:rPr>
                <w:sz w:val="20"/>
              </w:rPr>
            </w:r>
          </w:p>
        </w:tc>
      </w:tr>
      <w:tr>
        <w:tc>
          <w:tcPr>
            <w:tcW w:w="1133" w:type="dxa"/>
            <w:tcBorders>
              <w:top w:val="nil"/>
              <w:left w:val="nil"/>
              <w:bottom w:val="nil"/>
              <w:right w:val="nil"/>
            </w:tcBorders>
          </w:tcPr>
          <w:p>
            <w:pPr>
              <w:pStyle w:val="0"/>
            </w:pPr>
            <w:r>
              <w:rPr>
                <w:sz w:val="20"/>
              </w:rPr>
            </w:r>
          </w:p>
        </w:tc>
        <w:tc>
          <w:tcPr>
            <w:tcW w:w="6066" w:type="dxa"/>
            <w:tcBorders>
              <w:top w:val="nil"/>
              <w:left w:val="nil"/>
              <w:bottom w:val="nil"/>
              <w:right w:val="nil"/>
            </w:tcBorders>
          </w:tcPr>
          <w:p>
            <w:pPr>
              <w:pStyle w:val="0"/>
            </w:pPr>
            <w:r>
              <w:rPr>
                <w:sz w:val="20"/>
              </w:rPr>
            </w:r>
          </w:p>
        </w:tc>
        <w:tc>
          <w:tcPr>
            <w:tcW w:w="1813"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МЧС России</w:t>
      </w:r>
    </w:p>
    <w:p>
      <w:pPr>
        <w:pStyle w:val="0"/>
        <w:jc w:val="right"/>
      </w:pPr>
      <w:r>
        <w:rPr>
          <w:sz w:val="20"/>
        </w:rPr>
        <w:t xml:space="preserve">от 16.03.2020 N 171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4592"/>
        <w:gridCol w:w="1416"/>
        <w:gridCol w:w="3004"/>
      </w:tblGrid>
      <w:tr>
        <w:tc>
          <w:tcPr>
            <w:tcW w:w="4592" w:type="dxa"/>
            <w:tcBorders>
              <w:top w:val="nil"/>
              <w:left w:val="nil"/>
              <w:bottom w:val="nil"/>
              <w:right w:val="nil"/>
            </w:tcBorders>
          </w:tcPr>
          <w:p>
            <w:pPr>
              <w:pStyle w:val="0"/>
              <w:jc w:val="center"/>
            </w:pPr>
            <w:r>
              <w:rPr>
                <w:sz w:val="20"/>
              </w:rPr>
              <w:t xml:space="preserve">Зарегистрирована</w:t>
            </w:r>
          </w:p>
        </w:tc>
        <w:tc>
          <w:tcPr>
            <w:tcW w:w="1416" w:type="dxa"/>
            <w:tcBorders>
              <w:top w:val="nil"/>
              <w:left w:val="nil"/>
              <w:bottom w:val="nil"/>
              <w:right w:val="nil"/>
            </w:tcBorders>
          </w:tcPr>
          <w:p>
            <w:pPr>
              <w:pStyle w:val="0"/>
            </w:pPr>
            <w:r>
              <w:rPr>
                <w:sz w:val="20"/>
              </w:rPr>
            </w:r>
          </w:p>
        </w:tc>
        <w:tc>
          <w:tcPr>
            <w:tcW w:w="3004" w:type="dxa"/>
            <w:tcBorders>
              <w:top w:val="nil"/>
              <w:left w:val="nil"/>
              <w:bottom w:val="nil"/>
              <w:right w:val="nil"/>
            </w:tcBorders>
          </w:tcPr>
          <w:p>
            <w:pPr>
              <w:pStyle w:val="0"/>
            </w:pPr>
            <w:r>
              <w:rPr>
                <w:sz w:val="20"/>
              </w:rPr>
            </w:r>
          </w:p>
        </w:tc>
      </w:tr>
      <w:tr>
        <w:tc>
          <w:tcPr>
            <w:tcW w:w="4592" w:type="dxa"/>
            <w:tcBorders>
              <w:top w:val="nil"/>
              <w:left w:val="nil"/>
              <w:bottom w:val="single" w:sz="4"/>
              <w:right w:val="nil"/>
            </w:tcBorders>
          </w:tcPr>
          <w:p>
            <w:pPr>
              <w:pStyle w:val="0"/>
            </w:pPr>
            <w:r>
              <w:rPr>
                <w:sz w:val="20"/>
              </w:rPr>
            </w:r>
          </w:p>
        </w:tc>
        <w:tc>
          <w:tcPr>
            <w:tcW w:w="1416" w:type="dxa"/>
            <w:tcBorders>
              <w:top w:val="nil"/>
              <w:left w:val="nil"/>
              <w:bottom w:val="nil"/>
              <w:right w:val="nil"/>
            </w:tcBorders>
          </w:tcPr>
          <w:p>
            <w:pPr>
              <w:pStyle w:val="0"/>
            </w:pPr>
            <w:r>
              <w:rPr>
                <w:sz w:val="20"/>
              </w:rPr>
            </w:r>
          </w:p>
        </w:tc>
        <w:tc>
          <w:tcPr>
            <w:tcW w:w="3004" w:type="dxa"/>
            <w:tcBorders>
              <w:top w:val="nil"/>
              <w:left w:val="nil"/>
              <w:bottom w:val="nil"/>
              <w:right w:val="nil"/>
            </w:tcBorders>
          </w:tcPr>
          <w:p>
            <w:pPr>
              <w:pStyle w:val="0"/>
            </w:pPr>
            <w:r>
              <w:rPr>
                <w:sz w:val="20"/>
              </w:rPr>
            </w:r>
          </w:p>
        </w:tc>
      </w:tr>
      <w:tr>
        <w:tc>
          <w:tcPr>
            <w:tcW w:w="4592" w:type="dxa"/>
            <w:tcBorders>
              <w:top w:val="single" w:sz="4"/>
              <w:left w:val="nil"/>
              <w:bottom w:val="nil"/>
              <w:right w:val="nil"/>
            </w:tcBorders>
          </w:tcPr>
          <w:p>
            <w:pPr>
              <w:pStyle w:val="0"/>
              <w:jc w:val="center"/>
            </w:pPr>
            <w:r>
              <w:rPr>
                <w:sz w:val="20"/>
              </w:rPr>
              <w:t xml:space="preserve">(Наименование подразделения МЧС России, предоставляющего государственную услугу)</w:t>
            </w:r>
          </w:p>
        </w:tc>
        <w:tc>
          <w:tcPr>
            <w:tcW w:w="1416" w:type="dxa"/>
            <w:tcBorders>
              <w:top w:val="nil"/>
              <w:left w:val="nil"/>
              <w:bottom w:val="nil"/>
              <w:right w:val="nil"/>
            </w:tcBorders>
          </w:tcPr>
          <w:p>
            <w:pPr>
              <w:pStyle w:val="0"/>
            </w:pPr>
            <w:r>
              <w:rPr>
                <w:sz w:val="20"/>
              </w:rPr>
            </w:r>
          </w:p>
        </w:tc>
        <w:tc>
          <w:tcPr>
            <w:tcW w:w="3004" w:type="dxa"/>
            <w:tcBorders>
              <w:top w:val="nil"/>
              <w:left w:val="nil"/>
              <w:bottom w:val="nil"/>
              <w:right w:val="nil"/>
            </w:tcBorders>
          </w:tcPr>
          <w:p>
            <w:pPr>
              <w:pStyle w:val="0"/>
            </w:pPr>
            <w:r>
              <w:rPr>
                <w:sz w:val="20"/>
              </w:rPr>
            </w:r>
          </w:p>
        </w:tc>
      </w:tr>
      <w:tr>
        <w:tc>
          <w:tcPr>
            <w:tcW w:w="4592" w:type="dxa"/>
            <w:tcBorders>
              <w:top w:val="nil"/>
              <w:left w:val="nil"/>
              <w:bottom w:val="nil"/>
              <w:right w:val="nil"/>
            </w:tcBorders>
          </w:tcPr>
          <w:p>
            <w:pPr>
              <w:pStyle w:val="0"/>
              <w:jc w:val="both"/>
            </w:pPr>
            <w:r>
              <w:rPr>
                <w:sz w:val="20"/>
              </w:rPr>
              <w:t xml:space="preserve">"__" ______________ 20__ г.</w:t>
            </w:r>
          </w:p>
        </w:tc>
        <w:tc>
          <w:tcPr>
            <w:tcW w:w="1416" w:type="dxa"/>
            <w:tcBorders>
              <w:top w:val="nil"/>
              <w:left w:val="nil"/>
              <w:bottom w:val="nil"/>
              <w:right w:val="nil"/>
            </w:tcBorders>
          </w:tcPr>
          <w:p>
            <w:pPr>
              <w:pStyle w:val="0"/>
            </w:pPr>
            <w:r>
              <w:rPr>
                <w:sz w:val="20"/>
              </w:rPr>
            </w:r>
          </w:p>
        </w:tc>
        <w:tc>
          <w:tcPr>
            <w:tcW w:w="3004" w:type="dxa"/>
            <w:tcBorders>
              <w:top w:val="nil"/>
              <w:left w:val="nil"/>
              <w:bottom w:val="nil"/>
              <w:right w:val="nil"/>
            </w:tcBorders>
          </w:tcPr>
          <w:p>
            <w:pPr>
              <w:pStyle w:val="0"/>
            </w:pPr>
            <w:r>
              <w:rPr>
                <w:sz w:val="20"/>
              </w:rPr>
            </w:r>
          </w:p>
        </w:tc>
      </w:tr>
      <w:tr>
        <w:tc>
          <w:tcPr>
            <w:tcW w:w="4592" w:type="dxa"/>
            <w:tcBorders>
              <w:top w:val="nil"/>
              <w:left w:val="nil"/>
              <w:bottom w:val="nil"/>
              <w:right w:val="nil"/>
            </w:tcBorders>
          </w:tcPr>
          <w:p>
            <w:pPr>
              <w:pStyle w:val="0"/>
              <w:jc w:val="both"/>
            </w:pPr>
            <w:r>
              <w:rPr>
                <w:sz w:val="20"/>
              </w:rPr>
              <w:t xml:space="preserve">Регистрационный N ________________</w:t>
            </w:r>
          </w:p>
        </w:tc>
        <w:tc>
          <w:tcPr>
            <w:tcW w:w="1416" w:type="dxa"/>
            <w:tcBorders>
              <w:top w:val="nil"/>
              <w:left w:val="nil"/>
              <w:bottom w:val="nil"/>
              <w:right w:val="nil"/>
            </w:tcBorders>
          </w:tcPr>
          <w:p>
            <w:pPr>
              <w:pStyle w:val="0"/>
            </w:pPr>
            <w:r>
              <w:rPr>
                <w:sz w:val="20"/>
              </w:rPr>
            </w:r>
          </w:p>
        </w:tc>
        <w:tc>
          <w:tcPr>
            <w:tcW w:w="3004" w:type="dxa"/>
            <w:tcBorders>
              <w:top w:val="nil"/>
              <w:left w:val="nil"/>
              <w:bottom w:val="nil"/>
              <w:right w:val="nil"/>
            </w:tcBorders>
          </w:tcPr>
          <w:p>
            <w:pPr>
              <w:pStyle w:val="0"/>
            </w:pPr>
            <w:r>
              <w:rPr>
                <w:sz w:val="20"/>
              </w:rPr>
            </w:r>
          </w:p>
        </w:tc>
      </w:tr>
      <w:tr>
        <w:tc>
          <w:tcPr>
            <w:tcW w:w="4592" w:type="dxa"/>
            <w:tcBorders>
              <w:top w:val="nil"/>
              <w:left w:val="nil"/>
              <w:bottom w:val="nil"/>
              <w:right w:val="nil"/>
            </w:tcBorders>
          </w:tcPr>
          <w:p>
            <w:pPr>
              <w:pStyle w:val="0"/>
            </w:pPr>
            <w:r>
              <w:rPr>
                <w:sz w:val="20"/>
              </w:rPr>
            </w:r>
          </w:p>
        </w:tc>
        <w:tc>
          <w:tcPr>
            <w:tcW w:w="1416" w:type="dxa"/>
            <w:tcBorders>
              <w:top w:val="nil"/>
              <w:left w:val="nil"/>
              <w:bottom w:val="nil"/>
              <w:right w:val="nil"/>
            </w:tcBorders>
          </w:tcPr>
          <w:p>
            <w:pPr>
              <w:pStyle w:val="0"/>
            </w:pPr>
            <w:r>
              <w:rPr>
                <w:sz w:val="20"/>
              </w:rPr>
            </w:r>
          </w:p>
        </w:tc>
        <w:tc>
          <w:tcPr>
            <w:tcW w:w="3004" w:type="dxa"/>
            <w:tcBorders>
              <w:top w:val="nil"/>
              <w:left w:val="nil"/>
              <w:bottom w:val="nil"/>
              <w:right w:val="nil"/>
            </w:tcBorders>
          </w:tcPr>
          <w:p>
            <w:pPr>
              <w:pStyle w:val="0"/>
            </w:pPr>
            <w:r>
              <w:rPr>
                <w:sz w:val="20"/>
              </w:rPr>
            </w:r>
          </w:p>
        </w:tc>
      </w:tr>
      <w:tr>
        <w:tc>
          <w:tcPr>
            <w:gridSpan w:val="3"/>
            <w:tcW w:w="9012" w:type="dxa"/>
            <w:tcBorders>
              <w:top w:val="nil"/>
              <w:left w:val="nil"/>
              <w:bottom w:val="nil"/>
              <w:right w:val="nil"/>
            </w:tcBorders>
          </w:tcPr>
          <w:bookmarkStart w:id="530" w:name="P530"/>
          <w:bookmarkEnd w:id="530"/>
          <w:p>
            <w:pPr>
              <w:pStyle w:val="0"/>
              <w:jc w:val="center"/>
            </w:pPr>
            <w:r>
              <w:rPr>
                <w:sz w:val="20"/>
              </w:rPr>
              <w:t xml:space="preserve">ДЕКЛАРАЦИЯ</w:t>
            </w:r>
          </w:p>
          <w:p>
            <w:pPr>
              <w:pStyle w:val="0"/>
              <w:jc w:val="center"/>
            </w:pPr>
            <w:r>
              <w:rPr>
                <w:sz w:val="20"/>
              </w:rPr>
              <w:t xml:space="preserve">ПОЖАРНОЙ БЕЗОПАСНОСТИ</w:t>
            </w:r>
          </w:p>
        </w:tc>
      </w:tr>
    </w:tbl>
    <w:p>
      <w:pPr>
        <w:pStyle w:val="0"/>
        <w:jc w:val="both"/>
      </w:pPr>
      <w:r>
        <w:rPr>
          <w:sz w:val="20"/>
        </w:rPr>
      </w:r>
    </w:p>
    <w:p>
      <w:pPr>
        <w:pStyle w:val="1"/>
        <w:jc w:val="both"/>
      </w:pPr>
      <w:r>
        <w:rPr>
          <w:sz w:val="20"/>
        </w:rPr>
        <w:t xml:space="preserve">    Настоящая декларация составлена в отношении ___________________________</w:t>
      </w:r>
    </w:p>
    <w:p>
      <w:pPr>
        <w:pStyle w:val="1"/>
        <w:jc w:val="both"/>
      </w:pPr>
      <w:r>
        <w:rPr>
          <w:sz w:val="20"/>
        </w:rPr>
        <w:t xml:space="preserve">                                                (Функциональное назначение;</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объекта защиты)</w:t>
      </w:r>
    </w:p>
    <w:p>
      <w:pPr>
        <w:pStyle w:val="1"/>
        <w:jc w:val="both"/>
      </w:pPr>
      <w:r>
        <w:rPr>
          <w:sz w:val="20"/>
        </w:rPr>
        <w:t xml:space="preserve">    Собственник объекта защиты ____________________________________________</w:t>
      </w:r>
    </w:p>
    <w:p>
      <w:pPr>
        <w:pStyle w:val="1"/>
        <w:jc w:val="both"/>
      </w:pPr>
      <w:r>
        <w:rPr>
          <w:sz w:val="20"/>
        </w:rPr>
        <w:t xml:space="preserve">                                (Указываются организационно-правовая форма</w:t>
      </w:r>
    </w:p>
    <w:p>
      <w:pPr>
        <w:pStyle w:val="1"/>
        <w:jc w:val="both"/>
      </w:pPr>
      <w:r>
        <w:rPr>
          <w:sz w:val="20"/>
        </w:rPr>
        <w:t xml:space="preserve">___________________________________________________________________________</w:t>
      </w:r>
    </w:p>
    <w:p>
      <w:pPr>
        <w:pStyle w:val="1"/>
        <w:jc w:val="both"/>
      </w:pPr>
      <w:r>
        <w:rPr>
          <w:sz w:val="20"/>
        </w:rPr>
        <w:t xml:space="preserve">        юридического лица или фамилия, имя, отчество (при наличии)</w:t>
      </w:r>
    </w:p>
    <w:p>
      <w:pPr>
        <w:pStyle w:val="1"/>
        <w:jc w:val="both"/>
      </w:pPr>
      <w:r>
        <w:rPr>
          <w:sz w:val="20"/>
        </w:rPr>
        <w:t xml:space="preserve">                             физического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индивидуального предпринимателя, являющегося собственником объекта</w:t>
      </w:r>
    </w:p>
    <w:p>
      <w:pPr>
        <w:pStyle w:val="1"/>
        <w:jc w:val="both"/>
      </w:pPr>
      <w:r>
        <w:rPr>
          <w:sz w:val="20"/>
        </w:rPr>
        <w:t xml:space="preserve">                        защиты или лицом, владеющим</w:t>
      </w:r>
    </w:p>
    <w:p>
      <w:pPr>
        <w:pStyle w:val="1"/>
        <w:jc w:val="both"/>
      </w:pPr>
      <w:r>
        <w:rPr>
          <w:sz w:val="20"/>
        </w:rPr>
        <w:t xml:space="preserve">___________________________________________________________________________</w:t>
      </w:r>
    </w:p>
    <w:p>
      <w:pPr>
        <w:pStyle w:val="1"/>
        <w:jc w:val="both"/>
      </w:pPr>
      <w:r>
        <w:rPr>
          <w:sz w:val="20"/>
        </w:rPr>
        <w:t xml:space="preserve"> объектом защиты на праве хозяйственного ведения, оперативного управления</w:t>
      </w:r>
    </w:p>
    <w:p>
      <w:pPr>
        <w:pStyle w:val="1"/>
        <w:jc w:val="both"/>
      </w:pPr>
      <w:r>
        <w:rPr>
          <w:sz w:val="20"/>
        </w:rPr>
        <w:t xml:space="preserve">                       либо ином законном основании,</w:t>
      </w:r>
    </w:p>
    <w:p>
      <w:pPr>
        <w:pStyle w:val="1"/>
        <w:jc w:val="both"/>
      </w:pPr>
      <w:r>
        <w:rPr>
          <w:sz w:val="20"/>
        </w:rPr>
        <w:t xml:space="preserve">___________________________________________________________________________</w:t>
      </w:r>
    </w:p>
    <w:p>
      <w:pPr>
        <w:pStyle w:val="1"/>
        <w:jc w:val="both"/>
      </w:pPr>
      <w:r>
        <w:rPr>
          <w:sz w:val="20"/>
        </w:rPr>
        <w:t xml:space="preserve">            предусмотренном федеральным законом или договором)</w:t>
      </w:r>
    </w:p>
    <w:p>
      <w:pPr>
        <w:pStyle w:val="1"/>
        <w:jc w:val="both"/>
      </w:pPr>
      <w:r>
        <w:rPr>
          <w:sz w:val="20"/>
        </w:rPr>
        <w:t xml:space="preserve">    Основной государственный регистрационный номер записи о государственной</w:t>
      </w:r>
    </w:p>
    <w:p>
      <w:pPr>
        <w:pStyle w:val="1"/>
        <w:jc w:val="both"/>
      </w:pPr>
      <w:r>
        <w:rPr>
          <w:sz w:val="20"/>
        </w:rPr>
        <w:t xml:space="preserve">регистрации юридического лица _____________________________________________</w:t>
      </w:r>
    </w:p>
    <w:p>
      <w:pPr>
        <w:pStyle w:val="1"/>
        <w:jc w:val="both"/>
      </w:pPr>
      <w:r>
        <w:rPr>
          <w:sz w:val="20"/>
        </w:rPr>
        <w:t xml:space="preserve">    Идентификационный номер налогоплательщика _____________________________</w:t>
      </w:r>
    </w:p>
    <w:p>
      <w:pPr>
        <w:pStyle w:val="1"/>
        <w:jc w:val="both"/>
      </w:pPr>
      <w:r>
        <w:rPr>
          <w:sz w:val="20"/>
        </w:rPr>
        <w:t xml:space="preserve">    Место нахождения объекта защиты _______________________________________</w:t>
      </w:r>
    </w:p>
    <w:p>
      <w:pPr>
        <w:pStyle w:val="1"/>
        <w:jc w:val="both"/>
      </w:pPr>
      <w:r>
        <w:rPr>
          <w:sz w:val="20"/>
        </w:rPr>
        <w:t xml:space="preserve">                                       (Указывается адрес объекта защиты)</w:t>
      </w:r>
    </w:p>
    <w:p>
      <w:pPr>
        <w:pStyle w:val="1"/>
        <w:jc w:val="both"/>
      </w:pPr>
      <w:r>
        <w:rPr>
          <w:sz w:val="20"/>
        </w:rPr>
        <w:t xml:space="preserve">    Почтовый и электронный адреса, телефон, факс юридического (физического)</w:t>
      </w:r>
    </w:p>
    <w:p>
      <w:pPr>
        <w:pStyle w:val="1"/>
        <w:jc w:val="both"/>
      </w:pPr>
      <w:r>
        <w:rPr>
          <w:sz w:val="20"/>
        </w:rPr>
        <w:t xml:space="preserve">лица     (при     наличии),     которому    принадлежит    объект    защиты</w:t>
      </w:r>
    </w:p>
    <w:p>
      <w:pPr>
        <w:pStyle w:val="1"/>
        <w:jc w:val="both"/>
      </w:pPr>
      <w:r>
        <w:rPr>
          <w:sz w:val="20"/>
        </w:rPr>
        <w:t xml:space="preserve">___________________________________________________________________________</w:t>
      </w:r>
    </w:p>
    <w:p>
      <w:pPr>
        <w:pStyle w:val="1"/>
        <w:jc w:val="both"/>
      </w:pPr>
      <w:r>
        <w:rPr>
          <w:sz w:val="20"/>
        </w:rPr>
        <w:t xml:space="preserve">    Сведения   о   вводе   объекта   защиты   в   эксплуатацию,  проведении</w:t>
      </w:r>
    </w:p>
    <w:p>
      <w:pPr>
        <w:pStyle w:val="1"/>
        <w:jc w:val="both"/>
      </w:pPr>
      <w:r>
        <w:rPr>
          <w:sz w:val="20"/>
        </w:rPr>
        <w:t xml:space="preserve">реконструкции,   капитального   ремонта,  изменении  класса  функциональной</w:t>
      </w:r>
    </w:p>
    <w:p>
      <w:pPr>
        <w:pStyle w:val="1"/>
        <w:jc w:val="both"/>
      </w:pPr>
      <w:r>
        <w:rPr>
          <w:sz w:val="20"/>
        </w:rPr>
        <w:t xml:space="preserve">пожарной   опасности   (для  объектов  защиты,  введенных  в  эксплуатацию)</w:t>
      </w:r>
    </w:p>
    <w:p>
      <w:pPr>
        <w:pStyle w:val="1"/>
        <w:jc w:val="both"/>
      </w:pPr>
      <w:r>
        <w:rPr>
          <w:sz w:val="20"/>
        </w:rPr>
        <w:t xml:space="preserve">___________________________________________________________________________</w:t>
      </w:r>
    </w:p>
    <w:p>
      <w:pPr>
        <w:pStyle w:val="1"/>
        <w:jc w:val="both"/>
      </w:pPr>
      <w:r>
        <w:rPr>
          <w:sz w:val="20"/>
        </w:rPr>
        <w:t xml:space="preserve">   (дата ввода объекта защиты в эксплуатацию, проведения реконструкции,</w:t>
      </w:r>
    </w:p>
    <w:p>
      <w:pPr>
        <w:pStyle w:val="1"/>
        <w:jc w:val="both"/>
      </w:pPr>
      <w:r>
        <w:rPr>
          <w:sz w:val="20"/>
        </w:rPr>
        <w:t xml:space="preserve">                           капитального ремонта,</w:t>
      </w:r>
    </w:p>
    <w:p>
      <w:pPr>
        <w:pStyle w:val="1"/>
        <w:jc w:val="both"/>
      </w:pPr>
      <w:r>
        <w:rPr>
          <w:sz w:val="20"/>
        </w:rPr>
        <w:t xml:space="preserve">___________________________________________________________________________</w:t>
      </w:r>
    </w:p>
    <w:p>
      <w:pPr>
        <w:pStyle w:val="1"/>
        <w:jc w:val="both"/>
      </w:pPr>
      <w:r>
        <w:rPr>
          <w:sz w:val="20"/>
        </w:rPr>
        <w:t xml:space="preserve">        изменения класса функциональной пожарной опасности и объем</w:t>
      </w:r>
    </w:p>
    <w:p>
      <w:pPr>
        <w:pStyle w:val="1"/>
        <w:jc w:val="both"/>
      </w:pPr>
      <w:r>
        <w:rPr>
          <w:sz w:val="20"/>
        </w:rPr>
        <w:t xml:space="preserve">                           проведенных работ по</w:t>
      </w:r>
    </w:p>
    <w:p>
      <w:pPr>
        <w:pStyle w:val="1"/>
        <w:jc w:val="both"/>
      </w:pPr>
      <w:r>
        <w:rPr>
          <w:sz w:val="20"/>
        </w:rPr>
        <w:t xml:space="preserve">___________________________________________________________________________</w:t>
      </w:r>
    </w:p>
    <w:p>
      <w:pPr>
        <w:pStyle w:val="1"/>
        <w:jc w:val="both"/>
      </w:pPr>
      <w:r>
        <w:rPr>
          <w:sz w:val="20"/>
        </w:rPr>
        <w:t xml:space="preserve">    реконструкции, капитальному ремонту, а также реквизиты документов,</w:t>
      </w:r>
    </w:p>
    <w:p>
      <w:pPr>
        <w:pStyle w:val="1"/>
        <w:jc w:val="both"/>
      </w:pPr>
      <w:r>
        <w:rPr>
          <w:sz w:val="20"/>
        </w:rPr>
        <w:t xml:space="preserve">                           на основании которых</w:t>
      </w:r>
    </w:p>
    <w:p>
      <w:pPr>
        <w:pStyle w:val="1"/>
        <w:jc w:val="both"/>
      </w:pPr>
      <w:r>
        <w:rPr>
          <w:sz w:val="20"/>
        </w:rPr>
        <w:t xml:space="preserve">___________________________________________________________________________</w:t>
      </w:r>
    </w:p>
    <w:p>
      <w:pPr>
        <w:pStyle w:val="1"/>
        <w:jc w:val="both"/>
      </w:pPr>
      <w:r>
        <w:rPr>
          <w:sz w:val="20"/>
        </w:rPr>
        <w:t xml:space="preserve">                    проводились соответствующие работы)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30"/>
        <w:gridCol w:w="3855"/>
        <w:gridCol w:w="2438"/>
        <w:gridCol w:w="1928"/>
      </w:tblGrid>
      <w:tr>
        <w:tc>
          <w:tcPr>
            <w:tcW w:w="830" w:type="dxa"/>
          </w:tcPr>
          <w:p>
            <w:pPr>
              <w:pStyle w:val="0"/>
              <w:jc w:val="center"/>
            </w:pPr>
            <w:r>
              <w:rPr>
                <w:sz w:val="20"/>
              </w:rPr>
              <w:t xml:space="preserve">N п/п</w:t>
            </w:r>
          </w:p>
        </w:tc>
        <w:tc>
          <w:tcPr>
            <w:gridSpan w:val="3"/>
            <w:tcW w:w="8221" w:type="dxa"/>
          </w:tcPr>
          <w:p>
            <w:pPr>
              <w:pStyle w:val="0"/>
              <w:jc w:val="center"/>
            </w:pPr>
            <w:r>
              <w:rPr>
                <w:sz w:val="20"/>
              </w:rPr>
              <w:t xml:space="preserve">Наименование раздела</w:t>
            </w:r>
          </w:p>
        </w:tc>
      </w:tr>
      <w:tr>
        <w:tc>
          <w:tcPr>
            <w:tcW w:w="830" w:type="dxa"/>
            <w:vAlign w:val="center"/>
            <w:vMerge w:val="restart"/>
          </w:tcPr>
          <w:p>
            <w:pPr>
              <w:pStyle w:val="0"/>
              <w:outlineLvl w:val="1"/>
              <w:jc w:val="center"/>
            </w:pPr>
            <w:r>
              <w:rPr>
                <w:sz w:val="20"/>
              </w:rPr>
              <w:t xml:space="preserve">1.</w:t>
            </w:r>
          </w:p>
        </w:tc>
        <w:tc>
          <w:tcPr>
            <w:gridSpan w:val="3"/>
            <w:tcW w:w="8221" w:type="dxa"/>
            <w:vAlign w:val="center"/>
          </w:tcPr>
          <w:p>
            <w:pPr>
              <w:pStyle w:val="0"/>
              <w:jc w:val="center"/>
            </w:pPr>
            <w:r>
              <w:rPr>
                <w:sz w:val="20"/>
              </w:rPr>
              <w:t xml:space="preserve">Характеристика объекта защиты</w:t>
            </w:r>
          </w:p>
        </w:tc>
      </w:tr>
      <w:tr>
        <w:tc>
          <w:tcPr>
            <w:vMerge w:val="continue"/>
          </w:tcPr>
          <w:p/>
        </w:tc>
        <w:tc>
          <w:tcPr>
            <w:gridSpan w:val="2"/>
            <w:tcW w:w="6293" w:type="dxa"/>
          </w:tcPr>
          <w:p>
            <w:pPr>
              <w:pStyle w:val="0"/>
              <w:jc w:val="center"/>
            </w:pPr>
            <w:r>
              <w:rPr>
                <w:sz w:val="20"/>
              </w:rPr>
              <w:t xml:space="preserve">Наименование параметра</w:t>
            </w:r>
          </w:p>
        </w:tc>
        <w:tc>
          <w:tcPr>
            <w:tcW w:w="1928" w:type="dxa"/>
            <w:vAlign w:val="bottom"/>
          </w:tcPr>
          <w:p>
            <w:pPr>
              <w:pStyle w:val="0"/>
              <w:jc w:val="center"/>
            </w:pPr>
            <w:r>
              <w:rPr>
                <w:sz w:val="20"/>
              </w:rPr>
              <w:t xml:space="preserve">Значение параметра</w:t>
            </w:r>
          </w:p>
        </w:tc>
      </w:tr>
      <w:tr>
        <w:tc>
          <w:tcPr>
            <w:tcW w:w="830" w:type="dxa"/>
            <w:vAlign w:val="bottom"/>
          </w:tcPr>
          <w:p>
            <w:pPr>
              <w:pStyle w:val="0"/>
              <w:jc w:val="center"/>
            </w:pPr>
            <w:r>
              <w:rPr>
                <w:sz w:val="20"/>
              </w:rPr>
              <w:t xml:space="preserve">1.1</w:t>
            </w:r>
          </w:p>
        </w:tc>
        <w:tc>
          <w:tcPr>
            <w:gridSpan w:val="2"/>
            <w:tcW w:w="6293" w:type="dxa"/>
            <w:vAlign w:val="center"/>
          </w:tcPr>
          <w:p>
            <w:pPr>
              <w:pStyle w:val="0"/>
            </w:pPr>
            <w:r>
              <w:rPr>
                <w:sz w:val="20"/>
              </w:rPr>
              <w:t xml:space="preserve">Степень огнестойкости</w:t>
            </w:r>
          </w:p>
        </w:tc>
        <w:tc>
          <w:tcPr>
            <w:tcW w:w="1928" w:type="dxa"/>
          </w:tcPr>
          <w:p>
            <w:pPr>
              <w:pStyle w:val="0"/>
            </w:pPr>
            <w:r>
              <w:rPr>
                <w:sz w:val="20"/>
              </w:rPr>
            </w:r>
          </w:p>
        </w:tc>
      </w:tr>
      <w:tr>
        <w:tc>
          <w:tcPr>
            <w:tcW w:w="830" w:type="dxa"/>
            <w:vAlign w:val="center"/>
          </w:tcPr>
          <w:p>
            <w:pPr>
              <w:pStyle w:val="0"/>
              <w:jc w:val="center"/>
            </w:pPr>
            <w:r>
              <w:rPr>
                <w:sz w:val="20"/>
              </w:rPr>
              <w:t xml:space="preserve">1.2</w:t>
            </w:r>
          </w:p>
        </w:tc>
        <w:tc>
          <w:tcPr>
            <w:gridSpan w:val="2"/>
            <w:tcW w:w="6293" w:type="dxa"/>
            <w:vAlign w:val="center"/>
          </w:tcPr>
          <w:p>
            <w:pPr>
              <w:pStyle w:val="0"/>
            </w:pPr>
            <w:r>
              <w:rPr>
                <w:sz w:val="20"/>
              </w:rPr>
              <w:t xml:space="preserve">Класс конструктивной пожарной опасности</w:t>
            </w:r>
          </w:p>
        </w:tc>
        <w:tc>
          <w:tcPr>
            <w:tcW w:w="1928" w:type="dxa"/>
          </w:tcPr>
          <w:p>
            <w:pPr>
              <w:pStyle w:val="0"/>
            </w:pPr>
            <w:r>
              <w:rPr>
                <w:sz w:val="20"/>
              </w:rPr>
            </w:r>
          </w:p>
        </w:tc>
      </w:tr>
      <w:tr>
        <w:tc>
          <w:tcPr>
            <w:tcW w:w="830" w:type="dxa"/>
          </w:tcPr>
          <w:p>
            <w:pPr>
              <w:pStyle w:val="0"/>
              <w:jc w:val="center"/>
            </w:pPr>
            <w:r>
              <w:rPr>
                <w:sz w:val="20"/>
              </w:rPr>
              <w:t xml:space="preserve">1.3</w:t>
            </w:r>
          </w:p>
        </w:tc>
        <w:tc>
          <w:tcPr>
            <w:gridSpan w:val="2"/>
            <w:tcW w:w="6293" w:type="dxa"/>
          </w:tcPr>
          <w:p>
            <w:pPr>
              <w:pStyle w:val="0"/>
            </w:pPr>
            <w:r>
              <w:rPr>
                <w:sz w:val="20"/>
              </w:rPr>
              <w:t xml:space="preserve">Класс функциональной пожарной опасности</w:t>
            </w:r>
          </w:p>
        </w:tc>
        <w:tc>
          <w:tcPr>
            <w:tcW w:w="1928" w:type="dxa"/>
          </w:tcPr>
          <w:p>
            <w:pPr>
              <w:pStyle w:val="0"/>
            </w:pPr>
            <w:r>
              <w:rPr>
                <w:sz w:val="20"/>
              </w:rPr>
            </w:r>
          </w:p>
        </w:tc>
      </w:tr>
      <w:tr>
        <w:tc>
          <w:tcPr>
            <w:tcW w:w="830" w:type="dxa"/>
          </w:tcPr>
          <w:p>
            <w:pPr>
              <w:pStyle w:val="0"/>
              <w:jc w:val="center"/>
            </w:pPr>
            <w:r>
              <w:rPr>
                <w:sz w:val="20"/>
              </w:rPr>
              <w:t xml:space="preserve">1.4</w:t>
            </w:r>
          </w:p>
        </w:tc>
        <w:tc>
          <w:tcPr>
            <w:gridSpan w:val="2"/>
            <w:tcW w:w="6293" w:type="dxa"/>
          </w:tcPr>
          <w:p>
            <w:pPr>
              <w:pStyle w:val="0"/>
            </w:pPr>
            <w:r>
              <w:rPr>
                <w:sz w:val="20"/>
              </w:rPr>
              <w:t xml:space="preserve">Высота здания</w:t>
            </w:r>
          </w:p>
        </w:tc>
        <w:tc>
          <w:tcPr>
            <w:tcW w:w="1928" w:type="dxa"/>
          </w:tcPr>
          <w:p>
            <w:pPr>
              <w:pStyle w:val="0"/>
            </w:pPr>
            <w:r>
              <w:rPr>
                <w:sz w:val="20"/>
              </w:rPr>
            </w:r>
          </w:p>
        </w:tc>
      </w:tr>
      <w:tr>
        <w:tc>
          <w:tcPr>
            <w:tcW w:w="830" w:type="dxa"/>
          </w:tcPr>
          <w:p>
            <w:pPr>
              <w:pStyle w:val="0"/>
              <w:jc w:val="center"/>
            </w:pPr>
            <w:r>
              <w:rPr>
                <w:sz w:val="20"/>
              </w:rPr>
              <w:t xml:space="preserve">1.5</w:t>
            </w:r>
          </w:p>
        </w:tc>
        <w:tc>
          <w:tcPr>
            <w:gridSpan w:val="2"/>
            <w:tcW w:w="6293" w:type="dxa"/>
          </w:tcPr>
          <w:p>
            <w:pPr>
              <w:pStyle w:val="0"/>
            </w:pPr>
            <w:r>
              <w:rPr>
                <w:sz w:val="20"/>
              </w:rPr>
              <w:t xml:space="preserve">Площадь этажа в пределах пожарного отсека здания</w:t>
            </w:r>
          </w:p>
        </w:tc>
        <w:tc>
          <w:tcPr>
            <w:tcW w:w="1928" w:type="dxa"/>
          </w:tcPr>
          <w:p>
            <w:pPr>
              <w:pStyle w:val="0"/>
            </w:pPr>
            <w:r>
              <w:rPr>
                <w:sz w:val="20"/>
              </w:rPr>
            </w:r>
          </w:p>
        </w:tc>
      </w:tr>
      <w:tr>
        <w:tc>
          <w:tcPr>
            <w:tcW w:w="830" w:type="dxa"/>
          </w:tcPr>
          <w:p>
            <w:pPr>
              <w:pStyle w:val="0"/>
              <w:jc w:val="center"/>
            </w:pPr>
            <w:r>
              <w:rPr>
                <w:sz w:val="20"/>
              </w:rPr>
              <w:t xml:space="preserve">1.7</w:t>
            </w:r>
          </w:p>
        </w:tc>
        <w:tc>
          <w:tcPr>
            <w:gridSpan w:val="2"/>
            <w:tcW w:w="6293" w:type="dxa"/>
          </w:tcPr>
          <w:p>
            <w:pPr>
              <w:pStyle w:val="0"/>
            </w:pPr>
            <w:r>
              <w:rPr>
                <w:sz w:val="20"/>
              </w:rPr>
              <w:t xml:space="preserve">Объем здания</w:t>
            </w:r>
          </w:p>
        </w:tc>
        <w:tc>
          <w:tcPr>
            <w:tcW w:w="1928" w:type="dxa"/>
          </w:tcPr>
          <w:p>
            <w:pPr>
              <w:pStyle w:val="0"/>
            </w:pPr>
            <w:r>
              <w:rPr>
                <w:sz w:val="20"/>
              </w:rPr>
            </w:r>
          </w:p>
        </w:tc>
      </w:tr>
      <w:tr>
        <w:tc>
          <w:tcPr>
            <w:tcW w:w="830" w:type="dxa"/>
            <w:vAlign w:val="center"/>
          </w:tcPr>
          <w:p>
            <w:pPr>
              <w:pStyle w:val="0"/>
              <w:jc w:val="center"/>
            </w:pPr>
            <w:r>
              <w:rPr>
                <w:sz w:val="20"/>
              </w:rPr>
              <w:t xml:space="preserve">1.8</w:t>
            </w:r>
          </w:p>
        </w:tc>
        <w:tc>
          <w:tcPr>
            <w:gridSpan w:val="2"/>
            <w:tcW w:w="6293" w:type="dxa"/>
            <w:vAlign w:val="center"/>
          </w:tcPr>
          <w:p>
            <w:pPr>
              <w:pStyle w:val="0"/>
            </w:pPr>
            <w:r>
              <w:rPr>
                <w:sz w:val="20"/>
              </w:rPr>
              <w:t xml:space="preserve">Количество этажей</w:t>
            </w:r>
          </w:p>
        </w:tc>
        <w:tc>
          <w:tcPr>
            <w:tcW w:w="1928" w:type="dxa"/>
          </w:tcPr>
          <w:p>
            <w:pPr>
              <w:pStyle w:val="0"/>
            </w:pPr>
            <w:r>
              <w:rPr>
                <w:sz w:val="20"/>
              </w:rPr>
            </w:r>
          </w:p>
        </w:tc>
      </w:tr>
      <w:tr>
        <w:tc>
          <w:tcPr>
            <w:tcW w:w="830" w:type="dxa"/>
          </w:tcPr>
          <w:p>
            <w:pPr>
              <w:pStyle w:val="0"/>
              <w:jc w:val="center"/>
            </w:pPr>
            <w:r>
              <w:rPr>
                <w:sz w:val="20"/>
              </w:rPr>
              <w:t xml:space="preserve">1.9</w:t>
            </w:r>
          </w:p>
        </w:tc>
        <w:tc>
          <w:tcPr>
            <w:gridSpan w:val="2"/>
            <w:tcW w:w="6293" w:type="dxa"/>
          </w:tcPr>
          <w:p>
            <w:pPr>
              <w:pStyle w:val="0"/>
            </w:pPr>
            <w:r>
              <w:rPr>
                <w:sz w:val="20"/>
              </w:rPr>
              <w:t xml:space="preserve">Категория наружных установок по пожарной опасности, категория зданий, сооружений по пожарной и взрывопожарной опасности (указывается для зданий производственного или складского назначения)</w:t>
            </w:r>
          </w:p>
        </w:tc>
        <w:tc>
          <w:tcPr>
            <w:tcW w:w="1928" w:type="dxa"/>
          </w:tcPr>
          <w:p>
            <w:pPr>
              <w:pStyle w:val="0"/>
            </w:pPr>
            <w:r>
              <w:rPr>
                <w:sz w:val="20"/>
              </w:rPr>
            </w:r>
          </w:p>
        </w:tc>
      </w:tr>
      <w:tr>
        <w:tc>
          <w:tcPr>
            <w:tcW w:w="830" w:type="dxa"/>
          </w:tcPr>
          <w:p>
            <w:pPr>
              <w:pStyle w:val="0"/>
              <w:jc w:val="center"/>
            </w:pPr>
            <w:r>
              <w:rPr>
                <w:sz w:val="20"/>
              </w:rPr>
              <w:t xml:space="preserve">1.10.</w:t>
            </w:r>
          </w:p>
        </w:tc>
        <w:tc>
          <w:tcPr>
            <w:gridSpan w:val="2"/>
            <w:tcW w:w="6293" w:type="dxa"/>
            <w:vAlign w:val="bottom"/>
          </w:tcPr>
          <w:p>
            <w:pPr>
              <w:pStyle w:val="0"/>
            </w:pPr>
            <w:r>
              <w:rPr>
                <w:sz w:val="20"/>
              </w:rPr>
              <w:t xml:space="preserve">Перечень и тип систем противопожарной защиты (системы противодымной защиты, пожарной сигнализации, пожаротушения, оповещения и управления эвакуацией, внутренний и наружный противопожарные водопроводы)</w:t>
            </w:r>
          </w:p>
        </w:tc>
        <w:tc>
          <w:tcPr>
            <w:tcW w:w="1928" w:type="dxa"/>
          </w:tcPr>
          <w:p>
            <w:pPr>
              <w:pStyle w:val="0"/>
            </w:pPr>
            <w:r>
              <w:rPr>
                <w:sz w:val="20"/>
              </w:rPr>
            </w:r>
          </w:p>
        </w:tc>
      </w:tr>
      <w:tr>
        <w:tc>
          <w:tcPr>
            <w:gridSpan w:val="4"/>
            <w:tcW w:w="9051" w:type="dxa"/>
          </w:tcPr>
          <w:p>
            <w:pPr>
              <w:pStyle w:val="0"/>
            </w:pPr>
            <w:r>
              <w:rPr>
                <w:sz w:val="20"/>
              </w:rPr>
            </w:r>
          </w:p>
        </w:tc>
      </w:tr>
      <w:tr>
        <w:tc>
          <w:tcPr>
            <w:tcW w:w="830" w:type="dxa"/>
          </w:tcPr>
          <w:p>
            <w:pPr>
              <w:pStyle w:val="0"/>
              <w:outlineLvl w:val="1"/>
              <w:jc w:val="center"/>
            </w:pPr>
            <w:r>
              <w:rPr>
                <w:sz w:val="20"/>
              </w:rPr>
              <w:t xml:space="preserve">2.</w:t>
            </w:r>
          </w:p>
        </w:tc>
        <w:tc>
          <w:tcPr>
            <w:gridSpan w:val="3"/>
            <w:tcW w:w="8221" w:type="dxa"/>
          </w:tcPr>
          <w:p>
            <w:pPr>
              <w:pStyle w:val="0"/>
              <w:jc w:val="center"/>
            </w:pPr>
            <w:r>
              <w:rPr>
                <w:sz w:val="20"/>
              </w:rPr>
              <w:t xml:space="preserve">Оценка пожарного риска, проведенная на объекте защиты</w:t>
            </w:r>
          </w:p>
          <w:p>
            <w:pPr>
              <w:pStyle w:val="0"/>
              <w:jc w:val="center"/>
            </w:pPr>
            <w:r>
              <w:rPr>
                <w:sz w:val="20"/>
              </w:rPr>
              <w:t xml:space="preserve">(Заполняется, если проводился расчет пожарного риска. В разделе указываются расчетные значения пожарного риска, а также комплекс выполняемых дополнительных инженерно-технических и организационных мероприятий для обеспечения допустимого значения уровня пожарного риска, в том числе перечень и тип систем противопожарной защиты)</w:t>
            </w:r>
          </w:p>
        </w:tc>
      </w:tr>
      <w:tr>
        <w:tc>
          <w:tcPr>
            <w:gridSpan w:val="4"/>
            <w:tcW w:w="9051" w:type="dxa"/>
          </w:tcPr>
          <w:p>
            <w:pPr>
              <w:pStyle w:val="0"/>
            </w:pPr>
            <w:r>
              <w:rPr>
                <w:sz w:val="20"/>
              </w:rPr>
            </w:r>
          </w:p>
        </w:tc>
      </w:tr>
      <w:tr>
        <w:tc>
          <w:tcPr>
            <w:tcW w:w="830" w:type="dxa"/>
          </w:tcPr>
          <w:p>
            <w:pPr>
              <w:pStyle w:val="0"/>
              <w:outlineLvl w:val="1"/>
              <w:jc w:val="center"/>
            </w:pPr>
            <w:r>
              <w:rPr>
                <w:sz w:val="20"/>
              </w:rPr>
              <w:t xml:space="preserve">3.</w:t>
            </w:r>
          </w:p>
        </w:tc>
        <w:tc>
          <w:tcPr>
            <w:gridSpan w:val="3"/>
            <w:tcW w:w="8221" w:type="dxa"/>
          </w:tcPr>
          <w:p>
            <w:pPr>
              <w:pStyle w:val="0"/>
              <w:jc w:val="center"/>
            </w:pPr>
            <w:r>
              <w:rPr>
                <w:sz w:val="20"/>
              </w:rPr>
              <w:t xml:space="preserve">Оценка возможного ущерба имуществу третьих лиц от пожара</w:t>
            </w:r>
          </w:p>
          <w:p>
            <w:pPr>
              <w:pStyle w:val="0"/>
              <w:jc w:val="center"/>
            </w:pPr>
            <w:r>
              <w:rPr>
                <w:sz w:val="20"/>
              </w:rPr>
              <w:t xml:space="preserve">(Заполняется самостоятельно, исходя из собственной оценки возможного ущерба имуществу третьих лиц от пожара, либо приводятся реквизиты документов страхования)</w:t>
            </w:r>
          </w:p>
        </w:tc>
      </w:tr>
      <w:tr>
        <w:tc>
          <w:tcPr>
            <w:gridSpan w:val="4"/>
            <w:tcW w:w="9051" w:type="dxa"/>
          </w:tcPr>
          <w:p>
            <w:pPr>
              <w:pStyle w:val="0"/>
            </w:pPr>
            <w:r>
              <w:rPr>
                <w:sz w:val="20"/>
              </w:rPr>
            </w:r>
          </w:p>
        </w:tc>
      </w:tr>
      <w:tr>
        <w:tc>
          <w:tcPr>
            <w:tcW w:w="830" w:type="dxa"/>
            <w:vMerge w:val="restart"/>
          </w:tcPr>
          <w:p>
            <w:pPr>
              <w:pStyle w:val="0"/>
              <w:outlineLvl w:val="1"/>
              <w:jc w:val="center"/>
            </w:pPr>
            <w:r>
              <w:rPr>
                <w:sz w:val="20"/>
              </w:rPr>
              <w:t xml:space="preserve">4.</w:t>
            </w:r>
          </w:p>
        </w:tc>
        <w:tc>
          <w:tcPr>
            <w:gridSpan w:val="3"/>
            <w:tcW w:w="8221" w:type="dxa"/>
          </w:tcPr>
          <w:p>
            <w:pPr>
              <w:pStyle w:val="0"/>
              <w:jc w:val="center"/>
            </w:pPr>
            <w:r>
              <w:rPr>
                <w:sz w:val="20"/>
              </w:rPr>
              <w:t xml:space="preserve">Сведения о выполнении мероприятий по обеспечению пожарной безопасности, выполнение которых должно обеспечиваться на объекте защиты</w:t>
            </w:r>
          </w:p>
        </w:tc>
      </w:tr>
      <w:tr>
        <w:tc>
          <w:tcPr>
            <w:vMerge w:val="continue"/>
          </w:tcPr>
          <w:p/>
        </w:tc>
        <w:tc>
          <w:tcPr>
            <w:tcW w:w="3855" w:type="dxa"/>
          </w:tcPr>
          <w:p>
            <w:pPr>
              <w:pStyle w:val="0"/>
              <w:jc w:val="center"/>
            </w:pPr>
            <w:r>
              <w:rPr>
                <w:sz w:val="20"/>
              </w:rPr>
              <w:t xml:space="preserve">Наименование противопожарного мероприятия</w:t>
            </w:r>
          </w:p>
        </w:tc>
        <w:tc>
          <w:tcPr>
            <w:tcW w:w="2438" w:type="dxa"/>
            <w:vAlign w:val="bottom"/>
          </w:tcPr>
          <w:p>
            <w:pPr>
              <w:pStyle w:val="0"/>
              <w:jc w:val="center"/>
            </w:pPr>
            <w:r>
              <w:rPr>
                <w:sz w:val="20"/>
              </w:rPr>
              <w:t xml:space="preserve">Реквизиты нормативных правовых актов и нормативных документов по пожарной безопасности, перечень статей (частей, пунктов) устанавливающих требования пожарной безопасности к объекту защиты</w:t>
            </w:r>
          </w:p>
        </w:tc>
        <w:tc>
          <w:tcPr>
            <w:tcW w:w="1928" w:type="dxa"/>
          </w:tcPr>
          <w:p>
            <w:pPr>
              <w:pStyle w:val="0"/>
              <w:jc w:val="center"/>
            </w:pPr>
            <w:r>
              <w:rPr>
                <w:sz w:val="20"/>
              </w:rPr>
              <w:t xml:space="preserve">Сведения о выполнении выполняется/не выполняется</w:t>
            </w:r>
          </w:p>
        </w:tc>
      </w:tr>
      <w:tr>
        <w:tc>
          <w:tcPr>
            <w:tcW w:w="830" w:type="dxa"/>
          </w:tcPr>
          <w:p>
            <w:pPr>
              <w:pStyle w:val="0"/>
              <w:jc w:val="center"/>
            </w:pPr>
            <w:r>
              <w:rPr>
                <w:sz w:val="20"/>
              </w:rPr>
              <w:t xml:space="preserve">4.1</w:t>
            </w:r>
          </w:p>
        </w:tc>
        <w:tc>
          <w:tcPr>
            <w:tcW w:w="3855" w:type="dxa"/>
            <w:vAlign w:val="bottom"/>
          </w:tcPr>
          <w:p>
            <w:pPr>
              <w:pStyle w:val="0"/>
            </w:pPr>
            <w:r>
              <w:rPr>
                <w:sz w:val="20"/>
              </w:rPr>
              <w:t xml:space="preserve">Противопожарные расстояния между зданиями и сооружениями</w:t>
            </w:r>
          </w:p>
        </w:tc>
        <w:tc>
          <w:tcPr>
            <w:tcW w:w="2438" w:type="dxa"/>
          </w:tcPr>
          <w:p>
            <w:pPr>
              <w:pStyle w:val="0"/>
            </w:pPr>
            <w:r>
              <w:rPr>
                <w:sz w:val="20"/>
              </w:rPr>
            </w:r>
          </w:p>
        </w:tc>
        <w:tc>
          <w:tcPr>
            <w:tcW w:w="1928" w:type="dxa"/>
          </w:tcPr>
          <w:p>
            <w:pPr>
              <w:pStyle w:val="0"/>
            </w:pPr>
            <w:r>
              <w:rPr>
                <w:sz w:val="20"/>
              </w:rPr>
            </w:r>
          </w:p>
        </w:tc>
      </w:tr>
      <w:tr>
        <w:tc>
          <w:tcPr>
            <w:tcW w:w="830" w:type="dxa"/>
          </w:tcPr>
          <w:p>
            <w:pPr>
              <w:pStyle w:val="0"/>
              <w:jc w:val="center"/>
            </w:pPr>
            <w:r>
              <w:rPr>
                <w:sz w:val="20"/>
              </w:rPr>
              <w:t xml:space="preserve">4.2</w:t>
            </w:r>
          </w:p>
        </w:tc>
        <w:tc>
          <w:tcPr>
            <w:tcW w:w="3855" w:type="dxa"/>
            <w:vAlign w:val="bottom"/>
          </w:tcPr>
          <w:p>
            <w:pPr>
              <w:pStyle w:val="0"/>
            </w:pPr>
            <w:r>
              <w:rPr>
                <w:sz w:val="20"/>
              </w:rPr>
              <w:t xml:space="preserve">Наружное противопожарное водоснабжение</w:t>
            </w:r>
          </w:p>
        </w:tc>
        <w:tc>
          <w:tcPr>
            <w:tcW w:w="2438" w:type="dxa"/>
          </w:tcPr>
          <w:p>
            <w:pPr>
              <w:pStyle w:val="0"/>
            </w:pPr>
            <w:r>
              <w:rPr>
                <w:sz w:val="20"/>
              </w:rPr>
            </w:r>
          </w:p>
        </w:tc>
        <w:tc>
          <w:tcPr>
            <w:tcW w:w="1928" w:type="dxa"/>
          </w:tcPr>
          <w:p>
            <w:pPr>
              <w:pStyle w:val="0"/>
            </w:pPr>
            <w:r>
              <w:rPr>
                <w:sz w:val="20"/>
              </w:rPr>
            </w:r>
          </w:p>
        </w:tc>
      </w:tr>
      <w:tr>
        <w:tc>
          <w:tcPr>
            <w:tcW w:w="830" w:type="dxa"/>
          </w:tcPr>
          <w:p>
            <w:pPr>
              <w:pStyle w:val="0"/>
              <w:jc w:val="center"/>
            </w:pPr>
            <w:r>
              <w:rPr>
                <w:sz w:val="20"/>
              </w:rPr>
              <w:t xml:space="preserve">4.3</w:t>
            </w:r>
          </w:p>
        </w:tc>
        <w:tc>
          <w:tcPr>
            <w:tcW w:w="3855" w:type="dxa"/>
            <w:vAlign w:val="bottom"/>
          </w:tcPr>
          <w:p>
            <w:pPr>
              <w:pStyle w:val="0"/>
            </w:pPr>
            <w:r>
              <w:rPr>
                <w:sz w:val="20"/>
              </w:rPr>
              <w:t xml:space="preserve">Проезды и подъезды для пожарной техники</w:t>
            </w:r>
          </w:p>
        </w:tc>
        <w:tc>
          <w:tcPr>
            <w:tcW w:w="2438" w:type="dxa"/>
          </w:tcPr>
          <w:p>
            <w:pPr>
              <w:pStyle w:val="0"/>
            </w:pPr>
            <w:r>
              <w:rPr>
                <w:sz w:val="20"/>
              </w:rPr>
            </w:r>
          </w:p>
        </w:tc>
        <w:tc>
          <w:tcPr>
            <w:tcW w:w="1928" w:type="dxa"/>
          </w:tcPr>
          <w:p>
            <w:pPr>
              <w:pStyle w:val="0"/>
            </w:pPr>
            <w:r>
              <w:rPr>
                <w:sz w:val="20"/>
              </w:rPr>
            </w:r>
          </w:p>
        </w:tc>
      </w:tr>
      <w:tr>
        <w:tc>
          <w:tcPr>
            <w:tcW w:w="830" w:type="dxa"/>
          </w:tcPr>
          <w:p>
            <w:pPr>
              <w:pStyle w:val="0"/>
              <w:jc w:val="center"/>
            </w:pPr>
            <w:r>
              <w:rPr>
                <w:sz w:val="20"/>
              </w:rPr>
              <w:t xml:space="preserve">4.4</w:t>
            </w:r>
          </w:p>
        </w:tc>
        <w:tc>
          <w:tcPr>
            <w:tcW w:w="3855" w:type="dxa"/>
            <w:vAlign w:val="bottom"/>
          </w:tcPr>
          <w:p>
            <w:pPr>
              <w:pStyle w:val="0"/>
            </w:pPr>
            <w:r>
              <w:rPr>
                <w:sz w:val="20"/>
              </w:rPr>
              <w:t xml:space="preserve">Конструктивные и объемно-планировочные решения, степень огнестойкости и класс конструктивной пожарной опасности</w:t>
            </w:r>
          </w:p>
        </w:tc>
        <w:tc>
          <w:tcPr>
            <w:tcW w:w="2438" w:type="dxa"/>
          </w:tcPr>
          <w:p>
            <w:pPr>
              <w:pStyle w:val="0"/>
            </w:pPr>
            <w:r>
              <w:rPr>
                <w:sz w:val="20"/>
              </w:rPr>
            </w:r>
          </w:p>
        </w:tc>
        <w:tc>
          <w:tcPr>
            <w:tcW w:w="1928" w:type="dxa"/>
          </w:tcPr>
          <w:p>
            <w:pPr>
              <w:pStyle w:val="0"/>
            </w:pPr>
            <w:r>
              <w:rPr>
                <w:sz w:val="20"/>
              </w:rPr>
            </w:r>
          </w:p>
        </w:tc>
      </w:tr>
      <w:tr>
        <w:tc>
          <w:tcPr>
            <w:tcW w:w="830" w:type="dxa"/>
          </w:tcPr>
          <w:p>
            <w:pPr>
              <w:pStyle w:val="0"/>
              <w:jc w:val="center"/>
            </w:pPr>
            <w:r>
              <w:rPr>
                <w:sz w:val="20"/>
              </w:rPr>
              <w:t xml:space="preserve">4.5</w:t>
            </w:r>
          </w:p>
        </w:tc>
        <w:tc>
          <w:tcPr>
            <w:tcW w:w="3855" w:type="dxa"/>
            <w:vAlign w:val="bottom"/>
          </w:tcPr>
          <w:p>
            <w:pPr>
              <w:pStyle w:val="0"/>
            </w:pPr>
            <w:r>
              <w:rPr>
                <w:sz w:val="20"/>
              </w:rPr>
              <w:t xml:space="preserve">Обеспечение безопасности людей при возникновении пожара, эвакуационные пути и выходы</w:t>
            </w:r>
          </w:p>
        </w:tc>
        <w:tc>
          <w:tcPr>
            <w:tcW w:w="2438" w:type="dxa"/>
          </w:tcPr>
          <w:p>
            <w:pPr>
              <w:pStyle w:val="0"/>
            </w:pPr>
            <w:r>
              <w:rPr>
                <w:sz w:val="20"/>
              </w:rPr>
            </w:r>
          </w:p>
        </w:tc>
        <w:tc>
          <w:tcPr>
            <w:tcW w:w="1928" w:type="dxa"/>
          </w:tcPr>
          <w:p>
            <w:pPr>
              <w:pStyle w:val="0"/>
            </w:pPr>
            <w:r>
              <w:rPr>
                <w:sz w:val="20"/>
              </w:rPr>
            </w:r>
          </w:p>
        </w:tc>
      </w:tr>
      <w:tr>
        <w:tc>
          <w:tcPr>
            <w:tcW w:w="830" w:type="dxa"/>
          </w:tcPr>
          <w:p>
            <w:pPr>
              <w:pStyle w:val="0"/>
              <w:jc w:val="center"/>
            </w:pPr>
            <w:r>
              <w:rPr>
                <w:sz w:val="20"/>
              </w:rPr>
              <w:t xml:space="preserve">4.6</w:t>
            </w:r>
          </w:p>
        </w:tc>
        <w:tc>
          <w:tcPr>
            <w:tcW w:w="3855" w:type="dxa"/>
            <w:vAlign w:val="bottom"/>
          </w:tcPr>
          <w:p>
            <w:pPr>
              <w:pStyle w:val="0"/>
            </w:pPr>
            <w:r>
              <w:rPr>
                <w:sz w:val="20"/>
              </w:rPr>
              <w:t xml:space="preserve">Обеспечение безопасности пожарно-спасательных подразделений при ликвидации пожара</w:t>
            </w:r>
          </w:p>
        </w:tc>
        <w:tc>
          <w:tcPr>
            <w:tcW w:w="2438" w:type="dxa"/>
          </w:tcPr>
          <w:p>
            <w:pPr>
              <w:pStyle w:val="0"/>
            </w:pPr>
            <w:r>
              <w:rPr>
                <w:sz w:val="20"/>
              </w:rPr>
            </w:r>
          </w:p>
        </w:tc>
        <w:tc>
          <w:tcPr>
            <w:tcW w:w="1928" w:type="dxa"/>
          </w:tcPr>
          <w:p>
            <w:pPr>
              <w:pStyle w:val="0"/>
            </w:pPr>
            <w:r>
              <w:rPr>
                <w:sz w:val="20"/>
              </w:rPr>
            </w:r>
          </w:p>
        </w:tc>
      </w:tr>
      <w:tr>
        <w:tc>
          <w:tcPr>
            <w:tcW w:w="830" w:type="dxa"/>
          </w:tcPr>
          <w:p>
            <w:pPr>
              <w:pStyle w:val="0"/>
              <w:jc w:val="center"/>
            </w:pPr>
            <w:r>
              <w:rPr>
                <w:sz w:val="20"/>
              </w:rPr>
              <w:t xml:space="preserve">4.7</w:t>
            </w:r>
          </w:p>
        </w:tc>
        <w:tc>
          <w:tcPr>
            <w:tcW w:w="3855" w:type="dxa"/>
            <w:vAlign w:val="bottom"/>
          </w:tcPr>
          <w:p>
            <w:pPr>
              <w:pStyle w:val="0"/>
            </w:pPr>
            <w:r>
              <w:rPr>
                <w:sz w:val="20"/>
              </w:rPr>
              <w:t xml:space="preserve">Системы противопожарной защиты (системы противодымной защиты, пожарной сигнализации, пожаротушения, оповещения и управления эвакуацией, внутренний и наружный противопожарные водопроводы)</w:t>
            </w:r>
          </w:p>
        </w:tc>
        <w:tc>
          <w:tcPr>
            <w:tcW w:w="2438" w:type="dxa"/>
          </w:tcPr>
          <w:p>
            <w:pPr>
              <w:pStyle w:val="0"/>
            </w:pPr>
            <w:r>
              <w:rPr>
                <w:sz w:val="20"/>
              </w:rPr>
            </w:r>
          </w:p>
        </w:tc>
        <w:tc>
          <w:tcPr>
            <w:tcW w:w="1928" w:type="dxa"/>
          </w:tcPr>
          <w:p>
            <w:pPr>
              <w:pStyle w:val="0"/>
            </w:pPr>
            <w:r>
              <w:rPr>
                <w:sz w:val="20"/>
              </w:rPr>
            </w:r>
          </w:p>
        </w:tc>
      </w:tr>
      <w:tr>
        <w:tc>
          <w:tcPr>
            <w:tcW w:w="830" w:type="dxa"/>
          </w:tcPr>
          <w:p>
            <w:pPr>
              <w:pStyle w:val="0"/>
              <w:jc w:val="center"/>
            </w:pPr>
            <w:r>
              <w:rPr>
                <w:sz w:val="20"/>
              </w:rPr>
              <w:t xml:space="preserve">4.8</w:t>
            </w:r>
          </w:p>
        </w:tc>
        <w:tc>
          <w:tcPr>
            <w:tcW w:w="3855" w:type="dxa"/>
            <w:vAlign w:val="bottom"/>
          </w:tcPr>
          <w:p>
            <w:pPr>
              <w:pStyle w:val="0"/>
            </w:pPr>
            <w:r>
              <w:rPr>
                <w:sz w:val="20"/>
              </w:rPr>
              <w:t xml:space="preserve">Размещение, управление и взаимодействие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2438" w:type="dxa"/>
          </w:tcPr>
          <w:p>
            <w:pPr>
              <w:pStyle w:val="0"/>
            </w:pPr>
            <w:r>
              <w:rPr>
                <w:sz w:val="20"/>
              </w:rPr>
            </w:r>
          </w:p>
        </w:tc>
        <w:tc>
          <w:tcPr>
            <w:tcW w:w="1928" w:type="dxa"/>
          </w:tcPr>
          <w:p>
            <w:pPr>
              <w:pStyle w:val="0"/>
            </w:pPr>
            <w:r>
              <w:rPr>
                <w:sz w:val="20"/>
              </w:rPr>
            </w:r>
          </w:p>
        </w:tc>
      </w:tr>
      <w:tr>
        <w:tc>
          <w:tcPr>
            <w:tcW w:w="830" w:type="dxa"/>
          </w:tcPr>
          <w:p>
            <w:pPr>
              <w:pStyle w:val="0"/>
              <w:jc w:val="center"/>
            </w:pPr>
            <w:r>
              <w:rPr>
                <w:sz w:val="20"/>
              </w:rPr>
              <w:t xml:space="preserve">4.9</w:t>
            </w:r>
          </w:p>
        </w:tc>
        <w:tc>
          <w:tcPr>
            <w:tcW w:w="3855" w:type="dxa"/>
            <w:vAlign w:val="bottom"/>
          </w:tcPr>
          <w:p>
            <w:pPr>
              <w:pStyle w:val="0"/>
            </w:pPr>
            <w:r>
              <w:rPr>
                <w:sz w:val="20"/>
              </w:rPr>
              <w:t xml:space="preserve">Организационно-технические мероприятия по обеспечению пожарной безопасности объекта защиты и противопожарный режим</w:t>
            </w:r>
          </w:p>
        </w:tc>
        <w:tc>
          <w:tcPr>
            <w:tcW w:w="2438" w:type="dxa"/>
          </w:tcPr>
          <w:p>
            <w:pPr>
              <w:pStyle w:val="0"/>
            </w:pPr>
            <w:r>
              <w:rPr>
                <w:sz w:val="20"/>
              </w:rPr>
            </w:r>
          </w:p>
        </w:tc>
        <w:tc>
          <w:tcPr>
            <w:tcW w:w="1928"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794"/>
        <w:gridCol w:w="4420"/>
        <w:gridCol w:w="1361"/>
        <w:gridCol w:w="2494"/>
      </w:tblGrid>
      <w:tr>
        <w:tc>
          <w:tcPr>
            <w:tcW w:w="794" w:type="dxa"/>
            <w:tcBorders>
              <w:top w:val="nil"/>
              <w:left w:val="nil"/>
              <w:bottom w:val="nil"/>
              <w:right w:val="nil"/>
            </w:tcBorders>
          </w:tcPr>
          <w:p>
            <w:pPr>
              <w:pStyle w:val="0"/>
            </w:pPr>
            <w:r>
              <w:rPr>
                <w:sz w:val="20"/>
              </w:rPr>
            </w:r>
          </w:p>
        </w:tc>
        <w:tc>
          <w:tcPr>
            <w:gridSpan w:val="3"/>
            <w:tcW w:w="8275" w:type="dxa"/>
            <w:tcBorders>
              <w:top w:val="nil"/>
              <w:left w:val="nil"/>
              <w:bottom w:val="nil"/>
              <w:right w:val="nil"/>
            </w:tcBorders>
          </w:tcPr>
          <w:p>
            <w:pPr>
              <w:pStyle w:val="0"/>
              <w:jc w:val="both"/>
            </w:pPr>
            <w:r>
              <w:rPr>
                <w:sz w:val="20"/>
              </w:rPr>
              <w:t xml:space="preserve">Настоящая декларация разработана</w:t>
            </w:r>
          </w:p>
        </w:tc>
      </w:tr>
      <w:tr>
        <w:tc>
          <w:tcPr>
            <w:tcW w:w="794" w:type="dxa"/>
            <w:tcBorders>
              <w:top w:val="nil"/>
              <w:left w:val="nil"/>
              <w:bottom w:val="nil"/>
              <w:right w:val="nil"/>
            </w:tcBorders>
          </w:tcPr>
          <w:p>
            <w:pPr>
              <w:pStyle w:val="0"/>
            </w:pPr>
            <w:r>
              <w:rPr>
                <w:sz w:val="20"/>
              </w:rPr>
            </w:r>
          </w:p>
        </w:tc>
        <w:tc>
          <w:tcPr>
            <w:tcW w:w="4420" w:type="dxa"/>
            <w:tcBorders>
              <w:top w:val="nil"/>
              <w:left w:val="nil"/>
              <w:bottom w:val="single" w:sz="4"/>
              <w:right w:val="nil"/>
            </w:tcBorders>
          </w:tcPr>
          <w:p>
            <w:pPr>
              <w:pStyle w:val="0"/>
            </w:pPr>
            <w:r>
              <w:rPr>
                <w:sz w:val="20"/>
              </w:rPr>
            </w:r>
          </w:p>
        </w:tc>
        <w:tc>
          <w:tcPr>
            <w:tcW w:w="1361" w:type="dxa"/>
            <w:tcBorders>
              <w:top w:val="nil"/>
              <w:left w:val="nil"/>
              <w:bottom w:val="nil"/>
              <w:right w:val="nil"/>
            </w:tcBorders>
          </w:tcPr>
          <w:p>
            <w:pPr>
              <w:pStyle w:val="0"/>
            </w:pPr>
            <w:r>
              <w:rPr>
                <w:sz w:val="20"/>
              </w:rPr>
            </w:r>
          </w:p>
        </w:tc>
        <w:tc>
          <w:tcPr>
            <w:tcW w:w="2494" w:type="dxa"/>
            <w:tcBorders>
              <w:top w:val="nil"/>
              <w:left w:val="nil"/>
              <w:bottom w:val="single" w:sz="4"/>
              <w:right w:val="nil"/>
            </w:tcBorders>
          </w:tcPr>
          <w:p>
            <w:pPr>
              <w:pStyle w:val="0"/>
            </w:pPr>
            <w:r>
              <w:rPr>
                <w:sz w:val="20"/>
              </w:rPr>
            </w:r>
          </w:p>
        </w:tc>
      </w:tr>
      <w:tr>
        <w:tc>
          <w:tcPr>
            <w:tcW w:w="794" w:type="dxa"/>
            <w:tcBorders>
              <w:top w:val="nil"/>
              <w:left w:val="nil"/>
              <w:bottom w:val="nil"/>
              <w:right w:val="nil"/>
            </w:tcBorders>
          </w:tcPr>
          <w:p>
            <w:pPr>
              <w:pStyle w:val="0"/>
            </w:pPr>
            <w:r>
              <w:rPr>
                <w:sz w:val="20"/>
              </w:rPr>
            </w:r>
          </w:p>
        </w:tc>
        <w:tc>
          <w:tcPr>
            <w:tcW w:w="4420" w:type="dxa"/>
            <w:tcBorders>
              <w:top w:val="single" w:sz="4"/>
              <w:left w:val="nil"/>
              <w:bottom w:val="nil"/>
              <w:right w:val="nil"/>
            </w:tcBorders>
          </w:tcPr>
          <w:p>
            <w:pPr>
              <w:pStyle w:val="0"/>
            </w:pPr>
            <w:r>
              <w:rPr>
                <w:sz w:val="20"/>
              </w:rPr>
              <w:t xml:space="preserve">(фамилия, имя, отчество (при наличии)</w:t>
            </w:r>
          </w:p>
        </w:tc>
        <w:tc>
          <w:tcPr>
            <w:tcW w:w="1361" w:type="dxa"/>
            <w:tcBorders>
              <w:top w:val="nil"/>
              <w:left w:val="nil"/>
              <w:bottom w:val="nil"/>
              <w:right w:val="nil"/>
            </w:tcBorders>
          </w:tcPr>
          <w:p>
            <w:pPr>
              <w:pStyle w:val="0"/>
            </w:pPr>
            <w:r>
              <w:rPr>
                <w:sz w:val="20"/>
              </w:rPr>
            </w:r>
          </w:p>
        </w:tc>
        <w:tc>
          <w:tcPr>
            <w:tcW w:w="2494" w:type="dxa"/>
            <w:tcBorders>
              <w:top w:val="single" w:sz="4"/>
              <w:left w:val="nil"/>
              <w:bottom w:val="nil"/>
              <w:right w:val="nil"/>
            </w:tcBorders>
          </w:tcPr>
          <w:p>
            <w:pPr>
              <w:pStyle w:val="0"/>
              <w:jc w:val="center"/>
            </w:pPr>
            <w:r>
              <w:rPr>
                <w:sz w:val="20"/>
              </w:rPr>
              <w:t xml:space="preserve">(Подпись)</w:t>
            </w:r>
          </w:p>
        </w:tc>
      </w:tr>
      <w:tr>
        <w:tc>
          <w:tcPr>
            <w:tcW w:w="794" w:type="dxa"/>
            <w:tcBorders>
              <w:top w:val="nil"/>
              <w:left w:val="nil"/>
              <w:bottom w:val="nil"/>
              <w:right w:val="nil"/>
            </w:tcBorders>
          </w:tcPr>
          <w:p>
            <w:pPr>
              <w:pStyle w:val="0"/>
            </w:pPr>
            <w:r>
              <w:rPr>
                <w:sz w:val="20"/>
              </w:rPr>
            </w:r>
          </w:p>
        </w:tc>
        <w:tc>
          <w:tcPr>
            <w:tcW w:w="4420" w:type="dxa"/>
            <w:tcBorders>
              <w:top w:val="nil"/>
              <w:left w:val="nil"/>
              <w:bottom w:val="nil"/>
              <w:right w:val="nil"/>
            </w:tcBorders>
          </w:tcPr>
          <w:p>
            <w:pPr>
              <w:pStyle w:val="0"/>
              <w:jc w:val="both"/>
            </w:pPr>
            <w:r>
              <w:rPr>
                <w:sz w:val="20"/>
              </w:rPr>
              <w:t xml:space="preserve">"__" ______________ 20__ г.</w:t>
            </w:r>
          </w:p>
        </w:tc>
        <w:tc>
          <w:tcPr>
            <w:gridSpan w:val="2"/>
            <w:tcW w:w="3855" w:type="dxa"/>
            <w:tcBorders>
              <w:top w:val="nil"/>
              <w:left w:val="nil"/>
              <w:bottom w:val="nil"/>
              <w:right w:val="nil"/>
            </w:tcBorders>
          </w:tcPr>
          <w:p>
            <w:pPr>
              <w:pStyle w:val="0"/>
            </w:pPr>
            <w:r>
              <w:rPr>
                <w:sz w:val="20"/>
              </w:rPr>
            </w:r>
          </w:p>
        </w:tc>
      </w:tr>
      <w:tr>
        <w:tc>
          <w:tcPr>
            <w:gridSpan w:val="4"/>
            <w:tcW w:w="9069" w:type="dxa"/>
            <w:tcBorders>
              <w:top w:val="nil"/>
              <w:left w:val="nil"/>
              <w:bottom w:val="nil"/>
              <w:right w:val="nil"/>
            </w:tcBorders>
          </w:tcPr>
          <w:p>
            <w:pPr>
              <w:pStyle w:val="0"/>
              <w:jc w:val="both"/>
            </w:pPr>
            <w:r>
              <w:rPr>
                <w:sz w:val="20"/>
              </w:rPr>
              <w:t xml:space="preserve">М.П. (при наличии)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МЧС России от 16.03.2020 N 171</w:t>
            <w:br/>
            <w:t>"Об утверждении Административного регламента Министерства Российской Федерации по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66AE64E058932489BD06C677E55E9F575D7097604E18CBA186890E69F917B5B86248377A63E78F05B1992846D391796CAC01D77E052C266L2u6O" TargetMode = "External"/>
	<Relationship Id="rId8" Type="http://schemas.openxmlformats.org/officeDocument/2006/relationships/hyperlink" Target="consultantplus://offline/ref=D66AE64E058932489BD06C677E55E9F575D4097F04E38CBA186890E69F917B5B86248377A63C7BFB5D1992846D391796CAC01D77E052C266L2u6O" TargetMode = "External"/>
	<Relationship Id="rId9" Type="http://schemas.openxmlformats.org/officeDocument/2006/relationships/hyperlink" Target="consultantplus://offline/ref=D66AE64E058932489BD06C677E55E9F572DF0A7806E68CBA186890E69F917B5B86248377A03B73AD0E5693D828690496CEC01E76FCL5u2O" TargetMode = "External"/>
	<Relationship Id="rId10" Type="http://schemas.openxmlformats.org/officeDocument/2006/relationships/hyperlink" Target="consultantplus://offline/ref=D66AE64E058932489BD06C677E55E9F575D4097F04E38CBA186890E69F917B5B86248377A63F71FC5A1992846D391796CAC01D77E052C266L2u6O" TargetMode = "External"/>
	<Relationship Id="rId11" Type="http://schemas.openxmlformats.org/officeDocument/2006/relationships/hyperlink" Target="consultantplus://offline/ref=D66AE64E058932489BD06C677E55E9F575D40F7B07EC8CBA186890E69F917B5B86248377A63E79FB5E1992846D391796CAC01D77E052C266L2u6O" TargetMode = "External"/>
	<Relationship Id="rId12" Type="http://schemas.openxmlformats.org/officeDocument/2006/relationships/hyperlink" Target="consultantplus://offline/ref=D66AE64E058932489BD06C677E55E9F575D4097E06ED8CBA186890E69F917B5B86248377A63E79F85F1992846D391796CAC01D77E052C266L2u6O" TargetMode = "External"/>
	<Relationship Id="rId13" Type="http://schemas.openxmlformats.org/officeDocument/2006/relationships/hyperlink" Target="consultantplus://offline/ref=D66AE64E058932489BD06C677E55E9F575D4097F04E38CBA186890E69F917B5B86248377A63E78F15A1992846D391796CAC01D77E052C266L2u6O" TargetMode = "External"/>
	<Relationship Id="rId14" Type="http://schemas.openxmlformats.org/officeDocument/2006/relationships/hyperlink" Target="consultantplus://offline/ref=D66AE64E058932489BD06C677E55E9F572DE0E7E02E18CBA186890E69F917B5B86248374AD6A29BD0A1FC7D0376D1B89CDDE1EL7u4O" TargetMode = "External"/>
	<Relationship Id="rId15" Type="http://schemas.openxmlformats.org/officeDocument/2006/relationships/hyperlink" Target="consultantplus://offline/ref=D66AE64E058932489BD06C677E55E9F575D7097604E18CBA186890E69F917B5B86248372A5352CA81B47CBD42C721B96D1DC1C74LFuCO" TargetMode = "External"/>
	<Relationship Id="rId16" Type="http://schemas.openxmlformats.org/officeDocument/2006/relationships/hyperlink" Target="consultantplus://offline/ref=D66AE64E058932489BD06C677E55E9F575D7097604E18CBA186890E69F917B5B86248374AF3E73AD0E5693D828690496CEC01E76FCL5u2O" TargetMode = "External"/>
	<Relationship Id="rId17" Type="http://schemas.openxmlformats.org/officeDocument/2006/relationships/hyperlink" Target="consultantplus://offline/ref=D66AE64E058932489BD06C677E55E9F575D4087900E58CBA186890E69F917B5B9424DB7BA73B66F85E0CC4D52BL6uEO" TargetMode = "External"/>
	<Relationship Id="rId18" Type="http://schemas.openxmlformats.org/officeDocument/2006/relationships/hyperlink" Target="consultantplus://offline/ref=D66AE64E058932489BD06C677E55E9F575D4087900E58CBA186890E69F917B5B9424DB7BA73B66F85E0CC4D52BL6uEO" TargetMode = "External"/>
	<Relationship Id="rId19" Type="http://schemas.openxmlformats.org/officeDocument/2006/relationships/hyperlink" Target="consultantplus://offline/ref=D66AE64E058932489BD06C677E55E9F572D60B7D03E38CBA186890E69F917B5B86248377A4352CA81B47CBD42C721B96D1DC1C74LFuCO" TargetMode = "External"/>
	<Relationship Id="rId20" Type="http://schemas.openxmlformats.org/officeDocument/2006/relationships/hyperlink" Target="consultantplus://offline/ref=D66AE64E058932489BD06C677E55E9F575D7097604E18CBA186890E69F917B5B86248374A73673AD0E5693D828690496CEC01E76FCL5u2O" TargetMode = "External"/>
	<Relationship Id="rId21" Type="http://schemas.openxmlformats.org/officeDocument/2006/relationships/hyperlink" Target="consultantplus://offline/ref=D66AE64E058932489BD06C677E55E9F572D60B7D03E38CBA186890E69F917B5B9424DB7BA73B66F85E0CC4D52BL6uEO" TargetMode = "External"/>
	<Relationship Id="rId22" Type="http://schemas.openxmlformats.org/officeDocument/2006/relationships/hyperlink" Target="consultantplus://offline/ref=D66AE64E058932489BD06C677E55E9F572D70A790BE48CBA186890E69F917B5B9424DB7BA73B66F85E0CC4D52BL6uE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16.03.2020 N 171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
(Зарегистрировано в Минюсте России 17.04.2020 N 58127)</dc:title>
  <dcterms:created xsi:type="dcterms:W3CDTF">2022-11-15T14:46:08Z</dcterms:created>
</cp:coreProperties>
</file>